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B9E78" w14:textId="77777777" w:rsidR="003D6D11" w:rsidRPr="00884A64" w:rsidRDefault="00E7261B" w:rsidP="007F45C5">
      <w:pPr>
        <w:spacing w:line="360" w:lineRule="auto"/>
        <w:jc w:val="center"/>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74D6CED4" wp14:editId="6FC9A269">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849608" w14:textId="77777777" w:rsidR="00FA36AB" w:rsidRDefault="00FA36AB" w:rsidP="003D6D11">
                            <w:pPr>
                              <w:jc w:val="center"/>
                              <w:rPr>
                                <w:rFonts w:ascii="Arial" w:hAnsi="Arial" w:cs="Arial"/>
                                <w:b/>
                                <w:bCs/>
                                <w:lang w:val="en-GB"/>
                              </w:rPr>
                            </w:pPr>
                          </w:p>
                          <w:p w14:paraId="087CA127" w14:textId="77777777"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03F0C64" w14:textId="77777777"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B45FA5">
                              <w:rPr>
                                <w:rFonts w:ascii="Arial" w:hAnsi="Arial" w:cs="Arial"/>
                                <w:b/>
                                <w:bCs/>
                                <w:szCs w:val="32"/>
                                <w:lang w:val="en-GB"/>
                              </w:rPr>
                              <w:t>27</w:t>
                            </w:r>
                          </w:p>
                          <w:p w14:paraId="7DCB2D25" w14:textId="77777777" w:rsidR="00FA36AB" w:rsidRPr="00884A64" w:rsidRDefault="00B45FA5" w:rsidP="00A80F47">
                            <w:pPr>
                              <w:jc w:val="center"/>
                              <w:rPr>
                                <w:bCs/>
                                <w:sz w:val="22"/>
                                <w:lang w:val="en-GB"/>
                              </w:rPr>
                            </w:pPr>
                            <w:r>
                              <w:rPr>
                                <w:bCs/>
                                <w:sz w:val="22"/>
                                <w:lang w:val="en-GB"/>
                              </w:rPr>
                              <w:t>13 November</w:t>
                            </w:r>
                            <w:r w:rsidR="00576FC0" w:rsidRPr="00884A64">
                              <w:rPr>
                                <w:bCs/>
                                <w:sz w:val="22"/>
                                <w:lang w:val="en-GB"/>
                              </w:rPr>
                              <w:t xml:space="preserve"> </w:t>
                            </w:r>
                            <w:r w:rsidR="00B61315" w:rsidRPr="00884A64">
                              <w:rPr>
                                <w:bCs/>
                                <w:sz w:val="22"/>
                                <w:lang w:val="en-GB"/>
                              </w:rPr>
                              <w:t>2018</w:t>
                            </w:r>
                          </w:p>
                          <w:p w14:paraId="768FD5F4" w14:textId="77777777" w:rsidR="00FA36AB" w:rsidRPr="00884A64" w:rsidRDefault="00B45FA5" w:rsidP="00754D75">
                            <w:pPr>
                              <w:jc w:val="center"/>
                              <w:rPr>
                                <w:bCs/>
                                <w:sz w:val="22"/>
                                <w:lang w:val="en-GB"/>
                              </w:rPr>
                            </w:pPr>
                            <w:r>
                              <w:rPr>
                                <w:bCs/>
                                <w:sz w:val="22"/>
                                <w:lang w:val="en-GB"/>
                              </w:rPr>
                              <w:t>Copenhagen</w:t>
                            </w:r>
                            <w:r w:rsidR="00576FC0" w:rsidRPr="00884A64">
                              <w:rPr>
                                <w:bCs/>
                                <w:sz w:val="22"/>
                                <w:lang w:val="en-GB"/>
                              </w:rPr>
                              <w:t xml:space="preserve">, </w:t>
                            </w:r>
                            <w:r>
                              <w:rPr>
                                <w:bCs/>
                                <w:sz w:val="22"/>
                                <w:lang w:val="en-GB"/>
                              </w:rPr>
                              <w:t>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8988A" id="_x0000_t202" coordsize="21600,21600" o:spt="202" path="m,l,21600r21600,l21600,xe">
                <v:stroke joinstyle="miter"/>
                <v:path gradientshapeok="t" o:connecttype="rect"/>
              </v:shapetype>
              <v:shape id="Text Box 2" o:spid="_x0000_s1026" type="#_x0000_t202" style="position:absolute;left:0;text-align:left;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B45FA5">
                        <w:rPr>
                          <w:rFonts w:ascii="Arial" w:hAnsi="Arial" w:cs="Arial"/>
                          <w:b/>
                          <w:bCs/>
                          <w:szCs w:val="32"/>
                          <w:lang w:val="en-GB"/>
                        </w:rPr>
                        <w:t>27</w:t>
                      </w:r>
                    </w:p>
                    <w:p w:rsidR="00FA36AB" w:rsidRPr="00884A64" w:rsidRDefault="00B45FA5" w:rsidP="00A80F47">
                      <w:pPr>
                        <w:jc w:val="center"/>
                        <w:rPr>
                          <w:bCs/>
                          <w:sz w:val="22"/>
                          <w:lang w:val="en-GB"/>
                        </w:rPr>
                      </w:pPr>
                      <w:r>
                        <w:rPr>
                          <w:bCs/>
                          <w:sz w:val="22"/>
                          <w:lang w:val="en-GB"/>
                        </w:rPr>
                        <w:t>13 November</w:t>
                      </w:r>
                      <w:r w:rsidR="00576FC0" w:rsidRPr="00884A64">
                        <w:rPr>
                          <w:bCs/>
                          <w:sz w:val="22"/>
                          <w:lang w:val="en-GB"/>
                        </w:rPr>
                        <w:t xml:space="preserve"> </w:t>
                      </w:r>
                      <w:r w:rsidR="00B61315" w:rsidRPr="00884A64">
                        <w:rPr>
                          <w:bCs/>
                          <w:sz w:val="22"/>
                          <w:lang w:val="en-GB"/>
                        </w:rPr>
                        <w:t>2018</w:t>
                      </w:r>
                    </w:p>
                    <w:p w:rsidR="00FA36AB" w:rsidRPr="00884A64" w:rsidRDefault="00B45FA5" w:rsidP="00754D75">
                      <w:pPr>
                        <w:jc w:val="center"/>
                        <w:rPr>
                          <w:bCs/>
                          <w:sz w:val="22"/>
                          <w:lang w:val="en-GB"/>
                        </w:rPr>
                      </w:pPr>
                      <w:r>
                        <w:rPr>
                          <w:bCs/>
                          <w:sz w:val="22"/>
                          <w:lang w:val="en-GB"/>
                        </w:rPr>
                        <w:t>Copenhagen</w:t>
                      </w:r>
                      <w:r w:rsidR="00576FC0" w:rsidRPr="00884A64">
                        <w:rPr>
                          <w:bCs/>
                          <w:sz w:val="22"/>
                          <w:lang w:val="en-GB"/>
                        </w:rPr>
                        <w:t xml:space="preserve">, </w:t>
                      </w:r>
                      <w:r>
                        <w:rPr>
                          <w:bCs/>
                          <w:sz w:val="22"/>
                          <w:lang w:val="en-GB"/>
                        </w:rPr>
                        <w:t>Denmark</w:t>
                      </w: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256878AD" wp14:editId="33EA594B">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711B42D9" w14:textId="77777777" w:rsidR="003D6D11" w:rsidRPr="00884A64" w:rsidRDefault="003D6D11" w:rsidP="003D6D11">
      <w:pPr>
        <w:jc w:val="center"/>
        <w:rPr>
          <w:b/>
          <w:bCs/>
          <w:sz w:val="20"/>
          <w:szCs w:val="20"/>
          <w:lang w:val="en-GB"/>
        </w:rPr>
      </w:pPr>
      <w:r w:rsidRPr="00884A64">
        <w:rPr>
          <w:b/>
          <w:bCs/>
          <w:sz w:val="20"/>
          <w:szCs w:val="20"/>
          <w:lang w:val="en-GB"/>
        </w:rPr>
        <w:t xml:space="preserve"> </w:t>
      </w:r>
    </w:p>
    <w:p w14:paraId="3DE07631" w14:textId="77777777" w:rsidR="003D6D11" w:rsidRPr="00884A64" w:rsidRDefault="003D6D11" w:rsidP="003D6D11">
      <w:pPr>
        <w:rPr>
          <w:sz w:val="20"/>
          <w:szCs w:val="20"/>
          <w:lang w:val="en-GB"/>
        </w:rPr>
      </w:pPr>
    </w:p>
    <w:p w14:paraId="67231D46" w14:textId="77777777" w:rsidR="003D6D11" w:rsidRPr="00884A64" w:rsidRDefault="003D6D11" w:rsidP="003D6D11">
      <w:pPr>
        <w:jc w:val="center"/>
        <w:rPr>
          <w:b/>
          <w:bCs/>
          <w:sz w:val="20"/>
          <w:szCs w:val="20"/>
          <w:lang w:val="en-GB"/>
        </w:rPr>
      </w:pPr>
    </w:p>
    <w:p w14:paraId="492700B6" w14:textId="77777777" w:rsidR="003D6D11" w:rsidRPr="00884A64" w:rsidRDefault="003D6D11" w:rsidP="00884A64">
      <w:pPr>
        <w:spacing w:after="120" w:line="276" w:lineRule="auto"/>
        <w:rPr>
          <w:sz w:val="20"/>
          <w:szCs w:val="20"/>
          <w:lang w:val="en-GB"/>
        </w:rPr>
      </w:pPr>
    </w:p>
    <w:p w14:paraId="785330BD" w14:textId="77777777" w:rsidR="003D6D11" w:rsidRPr="00884A64" w:rsidRDefault="003D6D11" w:rsidP="00884A64">
      <w:pPr>
        <w:spacing w:after="120" w:line="276" w:lineRule="auto"/>
        <w:jc w:val="center"/>
        <w:rPr>
          <w:sz w:val="20"/>
          <w:szCs w:val="20"/>
          <w:lang w:val="en-GB"/>
        </w:rPr>
      </w:pPr>
    </w:p>
    <w:p w14:paraId="2A81AEB5" w14:textId="77777777" w:rsidR="003D6D11" w:rsidRDefault="003D6D11" w:rsidP="00884A64">
      <w:pPr>
        <w:pBdr>
          <w:bottom w:val="single" w:sz="6" w:space="1" w:color="auto"/>
        </w:pBdr>
        <w:spacing w:after="120" w:line="276" w:lineRule="auto"/>
        <w:rPr>
          <w:sz w:val="20"/>
          <w:szCs w:val="20"/>
          <w:lang w:val="en-GB"/>
        </w:rPr>
      </w:pPr>
    </w:p>
    <w:p w14:paraId="4C182CE5" w14:textId="77777777" w:rsidR="00884A64" w:rsidRPr="00884A64" w:rsidRDefault="00884A64" w:rsidP="00884A64">
      <w:pPr>
        <w:pBdr>
          <w:bottom w:val="single" w:sz="6" w:space="1" w:color="auto"/>
        </w:pBdr>
        <w:spacing w:after="120" w:line="276" w:lineRule="auto"/>
        <w:rPr>
          <w:sz w:val="20"/>
          <w:szCs w:val="20"/>
          <w:lang w:val="en-GB"/>
        </w:rPr>
      </w:pPr>
    </w:p>
    <w:p w14:paraId="567F308C" w14:textId="77777777" w:rsidR="007D5514" w:rsidRPr="00882BE6" w:rsidRDefault="003D6D11" w:rsidP="00884A64">
      <w:pPr>
        <w:tabs>
          <w:tab w:val="left" w:pos="2160"/>
        </w:tabs>
        <w:spacing w:after="120" w:line="276" w:lineRule="auto"/>
        <w:rPr>
          <w:b/>
          <w:sz w:val="22"/>
          <w:szCs w:val="22"/>
          <w:lang w:val="en-GB"/>
        </w:rPr>
      </w:pPr>
      <w:r w:rsidRPr="00882BE6">
        <w:rPr>
          <w:b/>
          <w:sz w:val="22"/>
          <w:szCs w:val="22"/>
          <w:lang w:val="en-GB"/>
        </w:rPr>
        <w:t>Agenda Item:</w:t>
      </w:r>
      <w:r w:rsidRPr="00882BE6">
        <w:rPr>
          <w:b/>
          <w:sz w:val="22"/>
          <w:szCs w:val="22"/>
          <w:lang w:val="en-GB"/>
        </w:rPr>
        <w:tab/>
      </w:r>
      <w:r w:rsidR="00882BE6" w:rsidRPr="00882BE6">
        <w:rPr>
          <w:b/>
          <w:sz w:val="22"/>
          <w:szCs w:val="22"/>
        </w:rPr>
        <w:t>5.2 Nature conservation and integrated ecosystem management</w:t>
      </w:r>
    </w:p>
    <w:p w14:paraId="68763F27" w14:textId="77777777" w:rsidR="007D5514" w:rsidRPr="00882BE6" w:rsidRDefault="003D6D11" w:rsidP="00884A64">
      <w:pPr>
        <w:tabs>
          <w:tab w:val="left" w:pos="2160"/>
        </w:tabs>
        <w:spacing w:after="120" w:line="276" w:lineRule="auto"/>
        <w:rPr>
          <w:b/>
          <w:sz w:val="22"/>
          <w:szCs w:val="22"/>
          <w:lang w:val="en-GB"/>
        </w:rPr>
      </w:pPr>
      <w:r w:rsidRPr="00882BE6">
        <w:rPr>
          <w:b/>
          <w:sz w:val="22"/>
          <w:szCs w:val="22"/>
          <w:lang w:val="en-GB"/>
        </w:rPr>
        <w:t>Subject:</w:t>
      </w:r>
      <w:r w:rsidRPr="00882BE6">
        <w:rPr>
          <w:b/>
          <w:sz w:val="22"/>
          <w:szCs w:val="22"/>
          <w:lang w:val="en-GB"/>
        </w:rPr>
        <w:tab/>
      </w:r>
      <w:r w:rsidR="005D492B" w:rsidRPr="00882BE6">
        <w:rPr>
          <w:b/>
          <w:sz w:val="22"/>
          <w:szCs w:val="22"/>
          <w:lang w:val="en-GB"/>
        </w:rPr>
        <w:t>Report TG-MM</w:t>
      </w:r>
    </w:p>
    <w:p w14:paraId="1B61A246" w14:textId="77777777" w:rsidR="007D5514" w:rsidRPr="00882BE6" w:rsidRDefault="003D6D11" w:rsidP="00884A64">
      <w:pPr>
        <w:tabs>
          <w:tab w:val="left" w:pos="2160"/>
        </w:tabs>
        <w:spacing w:after="120" w:line="276" w:lineRule="auto"/>
        <w:rPr>
          <w:b/>
          <w:sz w:val="22"/>
          <w:szCs w:val="22"/>
          <w:lang w:val="en-GB"/>
        </w:rPr>
      </w:pPr>
      <w:r w:rsidRPr="00882BE6">
        <w:rPr>
          <w:b/>
          <w:sz w:val="22"/>
          <w:szCs w:val="22"/>
          <w:lang w:val="en-GB"/>
        </w:rPr>
        <w:t>Document No.</w:t>
      </w:r>
      <w:r w:rsidR="00884A64" w:rsidRPr="00882BE6">
        <w:rPr>
          <w:b/>
          <w:sz w:val="22"/>
          <w:szCs w:val="22"/>
          <w:lang w:val="en-GB"/>
        </w:rPr>
        <w:t>:</w:t>
      </w:r>
      <w:r w:rsidRPr="00882BE6">
        <w:rPr>
          <w:b/>
          <w:sz w:val="22"/>
          <w:szCs w:val="22"/>
          <w:lang w:val="en-GB"/>
        </w:rPr>
        <w:tab/>
      </w:r>
      <w:r w:rsidR="0035006B" w:rsidRPr="00882BE6">
        <w:rPr>
          <w:b/>
          <w:sz w:val="22"/>
          <w:szCs w:val="22"/>
          <w:lang w:val="en-GB"/>
        </w:rPr>
        <w:t>WSB 2</w:t>
      </w:r>
      <w:r w:rsidR="00B45FA5" w:rsidRPr="00882BE6">
        <w:rPr>
          <w:b/>
          <w:sz w:val="22"/>
          <w:szCs w:val="22"/>
          <w:lang w:val="en-GB"/>
        </w:rPr>
        <w:t>7</w:t>
      </w:r>
      <w:r w:rsidR="00E05DFD" w:rsidRPr="00882BE6">
        <w:rPr>
          <w:b/>
          <w:sz w:val="22"/>
          <w:szCs w:val="22"/>
          <w:lang w:val="en-GB"/>
        </w:rPr>
        <w:t>/</w:t>
      </w:r>
      <w:r w:rsidR="00B45FA5" w:rsidRPr="00882BE6">
        <w:rPr>
          <w:b/>
          <w:sz w:val="22"/>
          <w:szCs w:val="22"/>
          <w:lang w:val="en-GB"/>
        </w:rPr>
        <w:t>5.</w:t>
      </w:r>
      <w:r w:rsidR="005D492B" w:rsidRPr="00882BE6">
        <w:rPr>
          <w:b/>
          <w:sz w:val="22"/>
          <w:szCs w:val="22"/>
          <w:lang w:val="en-GB"/>
        </w:rPr>
        <w:t>2</w:t>
      </w:r>
      <w:r w:rsidR="00FF5F12" w:rsidRPr="00882BE6">
        <w:rPr>
          <w:b/>
          <w:sz w:val="22"/>
          <w:szCs w:val="22"/>
          <w:lang w:val="en-GB"/>
        </w:rPr>
        <w:t>/1</w:t>
      </w:r>
    </w:p>
    <w:p w14:paraId="0B9B0883" w14:textId="79068ED3" w:rsidR="003D6D11" w:rsidRPr="00882BE6" w:rsidRDefault="003D6D11" w:rsidP="00884A64">
      <w:pPr>
        <w:tabs>
          <w:tab w:val="left" w:pos="2160"/>
        </w:tabs>
        <w:spacing w:after="120" w:line="276" w:lineRule="auto"/>
        <w:rPr>
          <w:b/>
          <w:sz w:val="22"/>
          <w:szCs w:val="22"/>
          <w:lang w:val="en-GB"/>
        </w:rPr>
      </w:pPr>
      <w:r w:rsidRPr="00882BE6">
        <w:rPr>
          <w:b/>
          <w:sz w:val="22"/>
          <w:szCs w:val="22"/>
          <w:lang w:val="en-GB"/>
        </w:rPr>
        <w:t>Date:</w:t>
      </w:r>
      <w:r w:rsidRPr="00882BE6">
        <w:rPr>
          <w:b/>
          <w:sz w:val="22"/>
          <w:szCs w:val="22"/>
          <w:lang w:val="en-GB"/>
        </w:rPr>
        <w:tab/>
      </w:r>
      <w:r w:rsidR="004D45EE" w:rsidRPr="00882BE6">
        <w:rPr>
          <w:b/>
          <w:sz w:val="22"/>
          <w:szCs w:val="22"/>
          <w:lang w:val="en-GB"/>
        </w:rPr>
        <w:t>0</w:t>
      </w:r>
      <w:r w:rsidR="004D45EE">
        <w:rPr>
          <w:b/>
          <w:sz w:val="22"/>
          <w:szCs w:val="22"/>
          <w:lang w:val="en-GB"/>
        </w:rPr>
        <w:t>6</w:t>
      </w:r>
      <w:r w:rsidR="004D45EE" w:rsidRPr="00882BE6">
        <w:rPr>
          <w:b/>
          <w:sz w:val="22"/>
          <w:szCs w:val="22"/>
          <w:lang w:val="en-GB"/>
        </w:rPr>
        <w:t xml:space="preserve"> </w:t>
      </w:r>
      <w:r w:rsidR="00D101BA" w:rsidRPr="00882BE6">
        <w:rPr>
          <w:b/>
          <w:sz w:val="22"/>
          <w:szCs w:val="22"/>
          <w:lang w:val="en-GB"/>
        </w:rPr>
        <w:t>November</w:t>
      </w:r>
      <w:r w:rsidR="00E05DFD" w:rsidRPr="00882BE6">
        <w:rPr>
          <w:b/>
          <w:sz w:val="22"/>
          <w:szCs w:val="22"/>
          <w:lang w:val="en-GB"/>
        </w:rPr>
        <w:t xml:space="preserve"> </w:t>
      </w:r>
      <w:r w:rsidR="00E05DFD" w:rsidRPr="00882BE6">
        <w:rPr>
          <w:b/>
          <w:sz w:val="22"/>
          <w:szCs w:val="22"/>
          <w:lang w:val="en-GB"/>
        </w:rPr>
        <w:t>1</w:t>
      </w:r>
      <w:r w:rsidR="00B45FA5" w:rsidRPr="00882BE6">
        <w:rPr>
          <w:b/>
          <w:sz w:val="22"/>
          <w:szCs w:val="22"/>
          <w:lang w:val="en-GB"/>
        </w:rPr>
        <w:t>8</w:t>
      </w:r>
    </w:p>
    <w:p w14:paraId="55A23C17" w14:textId="77777777" w:rsidR="00884A64" w:rsidRPr="00882BE6" w:rsidRDefault="003D6D11" w:rsidP="00884A64">
      <w:pPr>
        <w:pBdr>
          <w:bottom w:val="single" w:sz="6" w:space="1" w:color="auto"/>
        </w:pBdr>
        <w:tabs>
          <w:tab w:val="left" w:pos="0"/>
        </w:tabs>
        <w:spacing w:after="120" w:line="276" w:lineRule="auto"/>
        <w:rPr>
          <w:b/>
          <w:sz w:val="22"/>
          <w:szCs w:val="22"/>
          <w:lang w:val="en-GB"/>
        </w:rPr>
      </w:pPr>
      <w:r w:rsidRPr="00882BE6">
        <w:rPr>
          <w:b/>
          <w:sz w:val="22"/>
          <w:szCs w:val="22"/>
          <w:lang w:val="en-GB"/>
        </w:rPr>
        <w:t>Submitted by:</w:t>
      </w:r>
      <w:r w:rsidR="00B45FA5" w:rsidRPr="00882BE6">
        <w:rPr>
          <w:b/>
          <w:sz w:val="22"/>
          <w:szCs w:val="22"/>
          <w:lang w:val="en-GB"/>
        </w:rPr>
        <w:tab/>
      </w:r>
      <w:r w:rsidR="00B45FA5" w:rsidRPr="00882BE6">
        <w:rPr>
          <w:b/>
          <w:sz w:val="22"/>
          <w:szCs w:val="22"/>
          <w:lang w:val="en-GB"/>
        </w:rPr>
        <w:tab/>
      </w:r>
      <w:r w:rsidR="005D492B" w:rsidRPr="00882BE6">
        <w:rPr>
          <w:b/>
          <w:sz w:val="22"/>
          <w:szCs w:val="22"/>
          <w:lang w:val="en-GB"/>
        </w:rPr>
        <w:t>TG-MM</w:t>
      </w:r>
    </w:p>
    <w:p w14:paraId="4BE82887" w14:textId="77777777" w:rsidR="00884A64" w:rsidRDefault="00884A64" w:rsidP="00884A64">
      <w:pPr>
        <w:pStyle w:val="Kopfzeile"/>
        <w:tabs>
          <w:tab w:val="clear" w:pos="4703"/>
          <w:tab w:val="clear" w:pos="9406"/>
        </w:tabs>
        <w:spacing w:after="120" w:line="276" w:lineRule="auto"/>
        <w:rPr>
          <w:sz w:val="22"/>
          <w:szCs w:val="22"/>
          <w:lang w:val="en-GB" w:eastAsia="de-DE"/>
        </w:rPr>
      </w:pPr>
    </w:p>
    <w:p w14:paraId="2467ABA5" w14:textId="0BA22114" w:rsidR="00B45FA5" w:rsidRPr="00882BE6" w:rsidRDefault="005D492B" w:rsidP="00882BE6">
      <w:pPr>
        <w:pStyle w:val="Kopfzeile"/>
        <w:spacing w:after="120" w:line="276" w:lineRule="auto"/>
        <w:rPr>
          <w:sz w:val="22"/>
          <w:szCs w:val="22"/>
          <w:lang w:val="en-GB" w:eastAsia="de-DE"/>
        </w:rPr>
      </w:pPr>
      <w:r w:rsidRPr="005D492B">
        <w:rPr>
          <w:sz w:val="22"/>
          <w:szCs w:val="22"/>
          <w:lang w:val="en-GB" w:eastAsia="de-DE"/>
        </w:rPr>
        <w:t xml:space="preserve">Attached is a progress report </w:t>
      </w:r>
      <w:r w:rsidR="00AF094D">
        <w:rPr>
          <w:sz w:val="22"/>
          <w:szCs w:val="22"/>
          <w:lang w:val="en-GB" w:eastAsia="de-DE"/>
        </w:rPr>
        <w:t>of</w:t>
      </w:r>
      <w:r w:rsidRPr="005D492B">
        <w:rPr>
          <w:sz w:val="22"/>
          <w:szCs w:val="22"/>
          <w:lang w:val="en-GB" w:eastAsia="de-DE"/>
        </w:rPr>
        <w:t xml:space="preserve"> the Task Group Management and Monitoring (TG-MM)</w:t>
      </w:r>
      <w:r w:rsidR="00AF094D">
        <w:rPr>
          <w:sz w:val="22"/>
          <w:szCs w:val="22"/>
          <w:lang w:val="en-GB" w:eastAsia="de-DE"/>
        </w:rPr>
        <w:t>.</w:t>
      </w:r>
      <w:r w:rsidRPr="005D492B">
        <w:rPr>
          <w:sz w:val="22"/>
          <w:szCs w:val="22"/>
          <w:lang w:val="en-GB" w:eastAsia="de-DE"/>
        </w:rPr>
        <w:t xml:space="preserve"> </w:t>
      </w:r>
      <w:r w:rsidR="00AF094D" w:rsidRPr="005D492B">
        <w:rPr>
          <w:sz w:val="22"/>
          <w:szCs w:val="22"/>
        </w:rPr>
        <w:t>TG-MM</w:t>
      </w:r>
      <w:r w:rsidR="00AF094D">
        <w:rPr>
          <w:sz w:val="22"/>
          <w:szCs w:val="22"/>
        </w:rPr>
        <w:t xml:space="preserve"> 22 was held on 27-28 June 2018 in </w:t>
      </w:r>
      <w:proofErr w:type="spellStart"/>
      <w:r w:rsidR="00AF094D">
        <w:rPr>
          <w:sz w:val="22"/>
          <w:szCs w:val="22"/>
        </w:rPr>
        <w:t>Tönning</w:t>
      </w:r>
      <w:proofErr w:type="spellEnd"/>
      <w:r w:rsidR="00AF094D">
        <w:rPr>
          <w:sz w:val="22"/>
          <w:szCs w:val="22"/>
        </w:rPr>
        <w:t>. The group has</w:t>
      </w:r>
      <w:r w:rsidR="00AF094D" w:rsidRPr="005D492B">
        <w:rPr>
          <w:sz w:val="22"/>
          <w:szCs w:val="22"/>
        </w:rPr>
        <w:t xml:space="preserve"> progressed on</w:t>
      </w:r>
      <w:r w:rsidR="001A0106">
        <w:rPr>
          <w:sz w:val="22"/>
          <w:szCs w:val="22"/>
        </w:rPr>
        <w:t xml:space="preserve"> a few</w:t>
      </w:r>
      <w:r w:rsidR="00AF094D" w:rsidRPr="005D492B">
        <w:rPr>
          <w:sz w:val="22"/>
          <w:szCs w:val="22"/>
        </w:rPr>
        <w:t xml:space="preserve"> specific items</w:t>
      </w:r>
      <w:r w:rsidR="00AF094D">
        <w:rPr>
          <w:sz w:val="22"/>
          <w:szCs w:val="22"/>
        </w:rPr>
        <w:t xml:space="preserve"> but mainly focused on the future structure of the group and th</w:t>
      </w:r>
      <w:r w:rsidR="00AD62E7">
        <w:rPr>
          <w:sz w:val="22"/>
          <w:szCs w:val="22"/>
        </w:rPr>
        <w:t>ose</w:t>
      </w:r>
      <w:r w:rsidR="00AF094D">
        <w:rPr>
          <w:sz w:val="22"/>
          <w:szCs w:val="22"/>
        </w:rPr>
        <w:t xml:space="preserve"> </w:t>
      </w:r>
      <w:r w:rsidR="00AD62E7">
        <w:rPr>
          <w:sz w:val="22"/>
          <w:szCs w:val="22"/>
        </w:rPr>
        <w:t>items</w:t>
      </w:r>
      <w:r w:rsidR="00AF094D">
        <w:rPr>
          <w:sz w:val="22"/>
          <w:szCs w:val="22"/>
        </w:rPr>
        <w:t xml:space="preserve"> from</w:t>
      </w:r>
      <w:r w:rsidR="007F67AB">
        <w:rPr>
          <w:sz w:val="22"/>
          <w:szCs w:val="22"/>
        </w:rPr>
        <w:t xml:space="preserve"> </w:t>
      </w:r>
      <w:r w:rsidR="00AD62E7">
        <w:rPr>
          <w:sz w:val="22"/>
          <w:szCs w:val="22"/>
        </w:rPr>
        <w:t xml:space="preserve">the Leeuwarden Declaration with </w:t>
      </w:r>
      <w:r w:rsidR="00AF094D">
        <w:rPr>
          <w:sz w:val="22"/>
          <w:szCs w:val="22"/>
        </w:rPr>
        <w:t xml:space="preserve">relevance for </w:t>
      </w:r>
      <w:r w:rsidR="00AD62E7">
        <w:rPr>
          <w:sz w:val="22"/>
          <w:szCs w:val="22"/>
        </w:rPr>
        <w:t>the TG-MM. The outcome on the discussion on the future set-up</w:t>
      </w:r>
      <w:r w:rsidR="00FF5F12">
        <w:rPr>
          <w:sz w:val="22"/>
          <w:szCs w:val="22"/>
        </w:rPr>
        <w:t>, ToR</w:t>
      </w:r>
      <w:r w:rsidR="00AD62E7">
        <w:rPr>
          <w:sz w:val="22"/>
          <w:szCs w:val="22"/>
        </w:rPr>
        <w:t xml:space="preserve"> an</w:t>
      </w:r>
      <w:r w:rsidR="00B25E6A">
        <w:rPr>
          <w:sz w:val="22"/>
          <w:szCs w:val="22"/>
        </w:rPr>
        <w:t>d</w:t>
      </w:r>
      <w:r w:rsidR="00AD62E7">
        <w:rPr>
          <w:sz w:val="22"/>
          <w:szCs w:val="22"/>
        </w:rPr>
        <w:t xml:space="preserve"> responsibilities of the group are </w:t>
      </w:r>
      <w:r w:rsidR="003F52C8">
        <w:rPr>
          <w:sz w:val="22"/>
          <w:szCs w:val="22"/>
        </w:rPr>
        <w:t>summarized</w:t>
      </w:r>
      <w:r w:rsidR="00AD62E7">
        <w:rPr>
          <w:sz w:val="22"/>
          <w:szCs w:val="22"/>
        </w:rPr>
        <w:t xml:space="preserve"> in document WSB 27/7/</w:t>
      </w:r>
      <w:r w:rsidR="006E45D3">
        <w:rPr>
          <w:sz w:val="22"/>
          <w:szCs w:val="22"/>
        </w:rPr>
        <w:t xml:space="preserve">5 </w:t>
      </w:r>
      <w:r w:rsidR="00AD62E7">
        <w:rPr>
          <w:sz w:val="22"/>
          <w:szCs w:val="22"/>
        </w:rPr>
        <w:t>and will therefore not be repeated in this report.</w:t>
      </w:r>
    </w:p>
    <w:p w14:paraId="3830A24C" w14:textId="77777777" w:rsidR="00AD62E7" w:rsidRPr="00AD62E7" w:rsidRDefault="00AD62E7" w:rsidP="00AD62E7">
      <w:pPr>
        <w:spacing w:after="120" w:line="276" w:lineRule="auto"/>
        <w:rPr>
          <w:sz w:val="22"/>
          <w:szCs w:val="22"/>
        </w:rPr>
      </w:pPr>
    </w:p>
    <w:p w14:paraId="3CCF10C8" w14:textId="77777777" w:rsidR="003D6D11" w:rsidRPr="00884A64" w:rsidRDefault="003D6D11" w:rsidP="00B25E6A">
      <w:pPr>
        <w:spacing w:after="120" w:line="276" w:lineRule="auto"/>
        <w:ind w:left="1440" w:hanging="1440"/>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w:t>
      </w:r>
      <w:r w:rsidR="005D492B">
        <w:rPr>
          <w:sz w:val="22"/>
          <w:szCs w:val="22"/>
          <w:lang w:val="en-GB"/>
        </w:rPr>
        <w:t xml:space="preserve">WSB </w:t>
      </w:r>
      <w:r w:rsidR="00004EE5" w:rsidRPr="00884A64">
        <w:rPr>
          <w:sz w:val="22"/>
          <w:szCs w:val="22"/>
          <w:lang w:val="en-GB"/>
        </w:rPr>
        <w:t xml:space="preserve">is </w:t>
      </w:r>
      <w:r w:rsidR="003D3CFD">
        <w:rPr>
          <w:sz w:val="22"/>
          <w:szCs w:val="22"/>
          <w:lang w:val="en-GB"/>
        </w:rPr>
        <w:t xml:space="preserve">invited to </w:t>
      </w:r>
      <w:r w:rsidR="00B25E6A">
        <w:rPr>
          <w:sz w:val="22"/>
          <w:szCs w:val="22"/>
          <w:lang w:val="en-GB"/>
        </w:rPr>
        <w:t xml:space="preserve">note the information and </w:t>
      </w:r>
      <w:r w:rsidR="00B25E6A" w:rsidRPr="00B25E6A">
        <w:rPr>
          <w:sz w:val="22"/>
          <w:szCs w:val="22"/>
          <w:lang w:val="en-GB"/>
        </w:rPr>
        <w:t>is invited to endorse the updated proposals</w:t>
      </w:r>
      <w:r w:rsidR="00B25E6A">
        <w:rPr>
          <w:sz w:val="22"/>
          <w:szCs w:val="22"/>
          <w:lang w:val="en-GB"/>
        </w:rPr>
        <w:t xml:space="preserve"> where necessary</w:t>
      </w:r>
      <w:r w:rsidR="00B25E6A" w:rsidRPr="00B25E6A">
        <w:rPr>
          <w:sz w:val="22"/>
          <w:szCs w:val="22"/>
          <w:lang w:val="en-GB"/>
        </w:rPr>
        <w:t>.</w:t>
      </w:r>
    </w:p>
    <w:p w14:paraId="6EC393F5" w14:textId="77777777" w:rsidR="003D6D11" w:rsidRPr="00884A64" w:rsidRDefault="003D6D11" w:rsidP="00884A64">
      <w:pPr>
        <w:pStyle w:val="Textkrper"/>
        <w:spacing w:after="120" w:line="276" w:lineRule="auto"/>
        <w:rPr>
          <w:rFonts w:ascii="Times New Roman" w:hAnsi="Times New Roman" w:cs="Times New Roman"/>
          <w:sz w:val="22"/>
          <w:szCs w:val="22"/>
          <w:lang w:val="en-GB"/>
        </w:rPr>
      </w:pPr>
    </w:p>
    <w:p w14:paraId="60100CE5" w14:textId="77777777" w:rsidR="00EC5696" w:rsidRPr="00884A64" w:rsidRDefault="00EC5696" w:rsidP="00884A64">
      <w:pPr>
        <w:spacing w:after="120" w:line="276" w:lineRule="auto"/>
        <w:jc w:val="center"/>
        <w:rPr>
          <w:sz w:val="22"/>
          <w:szCs w:val="22"/>
          <w:lang w:val="en-GB"/>
        </w:rPr>
      </w:pPr>
    </w:p>
    <w:p w14:paraId="62CBA6CC" w14:textId="77777777" w:rsidR="001C042F" w:rsidRPr="00884A64" w:rsidRDefault="001C042F" w:rsidP="00884A64">
      <w:pPr>
        <w:spacing w:after="120" w:line="276" w:lineRule="auto"/>
        <w:jc w:val="center"/>
        <w:rPr>
          <w:sz w:val="22"/>
          <w:szCs w:val="22"/>
          <w:lang w:val="en-GB"/>
        </w:rPr>
      </w:pPr>
    </w:p>
    <w:p w14:paraId="39CAD8BF" w14:textId="77777777" w:rsidR="00B61315" w:rsidRDefault="0035006B" w:rsidP="00884A64">
      <w:pPr>
        <w:spacing w:after="120" w:line="276" w:lineRule="auto"/>
        <w:rPr>
          <w:rFonts w:ascii="Arial" w:hAnsi="Arial" w:cs="Arial"/>
        </w:rPr>
      </w:pPr>
      <w:r w:rsidRPr="0035006B">
        <w:br/>
      </w:r>
    </w:p>
    <w:p w14:paraId="35E9DBCC" w14:textId="77777777" w:rsidR="00B61315" w:rsidRPr="00B61315" w:rsidRDefault="00B61315" w:rsidP="00884A64">
      <w:pPr>
        <w:spacing w:after="120" w:line="276" w:lineRule="auto"/>
        <w:rPr>
          <w:rFonts w:ascii="Arial" w:hAnsi="Arial" w:cs="Arial"/>
        </w:rPr>
      </w:pPr>
    </w:p>
    <w:p w14:paraId="67A1F4BA" w14:textId="77777777" w:rsidR="00B61315" w:rsidRPr="00B61315" w:rsidRDefault="00B61315" w:rsidP="00884A64">
      <w:pPr>
        <w:spacing w:after="120" w:line="276" w:lineRule="auto"/>
        <w:rPr>
          <w:rFonts w:ascii="Arial" w:hAnsi="Arial" w:cs="Arial"/>
        </w:rPr>
      </w:pPr>
    </w:p>
    <w:p w14:paraId="4B3678AF" w14:textId="77777777" w:rsidR="00B61315" w:rsidRDefault="00B61315" w:rsidP="00884A64">
      <w:pPr>
        <w:spacing w:after="120" w:line="276" w:lineRule="auto"/>
        <w:rPr>
          <w:rFonts w:ascii="Arial" w:hAnsi="Arial" w:cs="Arial"/>
        </w:rPr>
      </w:pPr>
    </w:p>
    <w:p w14:paraId="03C0A7BF" w14:textId="77777777" w:rsidR="00B61315" w:rsidRDefault="00B61315" w:rsidP="00884A64">
      <w:pPr>
        <w:tabs>
          <w:tab w:val="left" w:pos="5224"/>
        </w:tabs>
        <w:spacing w:after="120" w:line="276" w:lineRule="auto"/>
        <w:rPr>
          <w:rFonts w:ascii="Arial" w:hAnsi="Arial" w:cs="Arial"/>
        </w:rPr>
      </w:pPr>
      <w:r>
        <w:rPr>
          <w:rFonts w:ascii="Arial" w:hAnsi="Arial" w:cs="Arial"/>
        </w:rPr>
        <w:tab/>
      </w:r>
    </w:p>
    <w:p w14:paraId="10EFF985" w14:textId="77777777" w:rsidR="00615200" w:rsidRDefault="001C042F" w:rsidP="00884A64">
      <w:pPr>
        <w:spacing w:after="120" w:line="276" w:lineRule="auto"/>
        <w:rPr>
          <w:sz w:val="22"/>
          <w:szCs w:val="22"/>
        </w:rPr>
      </w:pPr>
      <w:r w:rsidRPr="00B61315">
        <w:rPr>
          <w:rFonts w:ascii="Arial" w:hAnsi="Arial" w:cs="Arial"/>
        </w:rPr>
        <w:br w:type="page"/>
      </w:r>
    </w:p>
    <w:p w14:paraId="61442075" w14:textId="77777777" w:rsidR="005D492B" w:rsidRDefault="005D492B" w:rsidP="005D492B">
      <w:pPr>
        <w:spacing w:after="120" w:line="276" w:lineRule="auto"/>
        <w:rPr>
          <w:rFonts w:ascii="Arial" w:hAnsi="Arial" w:cs="Arial"/>
          <w:sz w:val="28"/>
          <w:szCs w:val="28"/>
        </w:rPr>
      </w:pPr>
      <w:r w:rsidRPr="005D492B">
        <w:rPr>
          <w:rFonts w:ascii="Arial" w:hAnsi="Arial" w:cs="Arial"/>
          <w:sz w:val="28"/>
          <w:szCs w:val="28"/>
        </w:rPr>
        <w:lastRenderedPageBreak/>
        <w:t>T</w:t>
      </w:r>
      <w:r w:rsidR="00655A1A">
        <w:rPr>
          <w:rFonts w:ascii="Arial" w:hAnsi="Arial" w:cs="Arial"/>
          <w:sz w:val="28"/>
          <w:szCs w:val="28"/>
        </w:rPr>
        <w:t xml:space="preserve">ask Group Management and Monitoring </w:t>
      </w:r>
      <w:r w:rsidRPr="005D492B">
        <w:rPr>
          <w:rFonts w:ascii="Arial" w:hAnsi="Arial" w:cs="Arial"/>
          <w:sz w:val="28"/>
          <w:szCs w:val="28"/>
        </w:rPr>
        <w:t>(TG-MM)</w:t>
      </w:r>
      <w:r>
        <w:rPr>
          <w:rFonts w:ascii="Arial" w:hAnsi="Arial" w:cs="Arial"/>
          <w:sz w:val="28"/>
          <w:szCs w:val="28"/>
        </w:rPr>
        <w:t xml:space="preserve"> </w:t>
      </w:r>
      <w:r w:rsidR="00655A1A">
        <w:rPr>
          <w:rFonts w:ascii="Arial" w:hAnsi="Arial" w:cs="Arial"/>
          <w:sz w:val="28"/>
          <w:szCs w:val="28"/>
        </w:rPr>
        <w:t xml:space="preserve">progress report since </w:t>
      </w:r>
      <w:r w:rsidRPr="005D492B">
        <w:rPr>
          <w:rFonts w:ascii="Arial" w:hAnsi="Arial" w:cs="Arial"/>
          <w:sz w:val="28"/>
          <w:szCs w:val="28"/>
        </w:rPr>
        <w:t>WSB-2</w:t>
      </w:r>
      <w:r w:rsidR="00AD62E7">
        <w:rPr>
          <w:rFonts w:ascii="Arial" w:hAnsi="Arial" w:cs="Arial"/>
          <w:sz w:val="28"/>
          <w:szCs w:val="28"/>
        </w:rPr>
        <w:t>6</w:t>
      </w:r>
    </w:p>
    <w:p w14:paraId="0D9E0ABD" w14:textId="77777777" w:rsidR="00AD62E7" w:rsidRDefault="00AD62E7" w:rsidP="00AD62E7">
      <w:pPr>
        <w:spacing w:after="200"/>
        <w:ind w:hanging="11"/>
        <w:contextualSpacing/>
        <w:rPr>
          <w:rFonts w:eastAsia="Calibri"/>
          <w:sz w:val="22"/>
          <w:szCs w:val="22"/>
          <w:lang w:val="en-GB"/>
        </w:rPr>
      </w:pPr>
      <w:r>
        <w:rPr>
          <w:rFonts w:eastAsia="Calibri"/>
          <w:sz w:val="22"/>
          <w:szCs w:val="22"/>
          <w:lang w:val="en-GB"/>
        </w:rPr>
        <w:t>Since WSB-2</w:t>
      </w:r>
      <w:r w:rsidR="00FF5F12">
        <w:rPr>
          <w:rFonts w:eastAsia="Calibri"/>
          <w:sz w:val="22"/>
          <w:szCs w:val="22"/>
          <w:lang w:val="en-GB"/>
        </w:rPr>
        <w:t>6</w:t>
      </w:r>
      <w:r>
        <w:rPr>
          <w:rFonts w:eastAsia="Calibri"/>
          <w:sz w:val="22"/>
          <w:szCs w:val="22"/>
          <w:lang w:val="en-GB"/>
        </w:rPr>
        <w:t xml:space="preserve"> the TG-MM has progressed on the following specific items:</w:t>
      </w:r>
    </w:p>
    <w:p w14:paraId="030EAD29" w14:textId="77777777" w:rsidR="00AD62E7" w:rsidRPr="005D492B" w:rsidRDefault="00AD62E7" w:rsidP="00AD62E7">
      <w:pPr>
        <w:spacing w:after="120" w:line="276" w:lineRule="auto"/>
        <w:rPr>
          <w:sz w:val="22"/>
          <w:szCs w:val="22"/>
        </w:rPr>
      </w:pPr>
    </w:p>
    <w:p w14:paraId="6515AFB8" w14:textId="77777777" w:rsidR="00AD62E7" w:rsidRPr="00655A1A" w:rsidRDefault="00AD62E7" w:rsidP="00AD62E7">
      <w:pPr>
        <w:spacing w:after="120" w:line="276" w:lineRule="auto"/>
        <w:rPr>
          <w:rFonts w:ascii="Arial" w:hAnsi="Arial" w:cs="Arial"/>
          <w:b/>
        </w:rPr>
      </w:pPr>
      <w:r w:rsidRPr="00655A1A">
        <w:rPr>
          <w:rFonts w:ascii="Arial" w:hAnsi="Arial" w:cs="Arial"/>
          <w:b/>
        </w:rPr>
        <w:t>Fish targets</w:t>
      </w:r>
    </w:p>
    <w:p w14:paraId="0C031E09" w14:textId="77777777" w:rsidR="00AD62E7" w:rsidRPr="001F65B2" w:rsidRDefault="00AD62E7" w:rsidP="00AD62E7">
      <w:pPr>
        <w:spacing w:after="120" w:line="276" w:lineRule="auto"/>
        <w:rPr>
          <w:i/>
          <w:sz w:val="22"/>
          <w:szCs w:val="22"/>
        </w:rPr>
      </w:pPr>
      <w:r w:rsidRPr="001F65B2">
        <w:rPr>
          <w:i/>
          <w:sz w:val="22"/>
          <w:szCs w:val="22"/>
        </w:rPr>
        <w:t>LD Para 13. Instruct the Wadden Sea Board to further develop and contribute to implementing the SWIMWAY Vision (at Annex 3) as an integrated approach to achieving the Trilateral Fish Targets by investigating, monitoring, managing and communicating topics concerning the ecology of fish of the Wadden Sea Area;</w:t>
      </w:r>
    </w:p>
    <w:p w14:paraId="6EA3F0DF" w14:textId="77777777" w:rsidR="00AD62E7" w:rsidRDefault="00AD62E7" w:rsidP="00AD62E7">
      <w:pPr>
        <w:spacing w:after="120" w:line="276" w:lineRule="auto"/>
        <w:rPr>
          <w:sz w:val="22"/>
          <w:szCs w:val="22"/>
        </w:rPr>
      </w:pPr>
      <w:r>
        <w:rPr>
          <w:sz w:val="22"/>
          <w:szCs w:val="22"/>
        </w:rPr>
        <w:t>The Swimway group held a wor</w:t>
      </w:r>
      <w:r w:rsidR="00993644">
        <w:rPr>
          <w:sz w:val="22"/>
          <w:szCs w:val="22"/>
        </w:rPr>
        <w:t>k</w:t>
      </w:r>
      <w:r>
        <w:rPr>
          <w:sz w:val="22"/>
          <w:szCs w:val="22"/>
        </w:rPr>
        <w:t xml:space="preserve"> meeting on</w:t>
      </w:r>
      <w:r w:rsidR="00993644">
        <w:rPr>
          <w:sz w:val="22"/>
          <w:szCs w:val="22"/>
        </w:rPr>
        <w:t xml:space="preserve"> 10-11</w:t>
      </w:r>
      <w:r w:rsidR="00882BE6">
        <w:rPr>
          <w:sz w:val="22"/>
          <w:szCs w:val="22"/>
        </w:rPr>
        <w:t>of September</w:t>
      </w:r>
      <w:r w:rsidR="00993644">
        <w:rPr>
          <w:sz w:val="22"/>
          <w:szCs w:val="22"/>
        </w:rPr>
        <w:t xml:space="preserve"> to elaborate on the work </w:t>
      </w:r>
      <w:proofErr w:type="spellStart"/>
      <w:r w:rsidR="00993644">
        <w:rPr>
          <w:sz w:val="22"/>
          <w:szCs w:val="22"/>
        </w:rPr>
        <w:t>programme</w:t>
      </w:r>
      <w:proofErr w:type="spellEnd"/>
      <w:r w:rsidR="00993644">
        <w:rPr>
          <w:sz w:val="22"/>
          <w:szCs w:val="22"/>
        </w:rPr>
        <w:t xml:space="preserve"> and the future set up of the group. The results were elaborated further during the review workshop in October in Hamburg and are displayed in document WSB27/7/3.</w:t>
      </w:r>
    </w:p>
    <w:p w14:paraId="225C7E4B" w14:textId="3700688F" w:rsidR="00993644" w:rsidRPr="008549C0" w:rsidRDefault="00AD62E7" w:rsidP="00AD62E7">
      <w:pPr>
        <w:spacing w:after="120" w:line="276" w:lineRule="auto"/>
        <w:rPr>
          <w:sz w:val="22"/>
          <w:szCs w:val="22"/>
        </w:rPr>
      </w:pPr>
      <w:r w:rsidRPr="008549C0">
        <w:rPr>
          <w:sz w:val="22"/>
          <w:szCs w:val="22"/>
        </w:rPr>
        <w:t xml:space="preserve">During </w:t>
      </w:r>
      <w:r w:rsidR="00993644" w:rsidRPr="008549C0">
        <w:rPr>
          <w:sz w:val="22"/>
          <w:szCs w:val="22"/>
        </w:rPr>
        <w:t>that workshop</w:t>
      </w:r>
      <w:r w:rsidRPr="008549C0">
        <w:rPr>
          <w:sz w:val="22"/>
          <w:szCs w:val="22"/>
        </w:rPr>
        <w:t xml:space="preserve"> it was proposed, that the current Swimway group will be maintained as Swimway Initiation Group for the year 2019</w:t>
      </w:r>
      <w:bookmarkStart w:id="0" w:name="_Hlk529190931"/>
      <w:r w:rsidR="008549C0">
        <w:rPr>
          <w:sz w:val="22"/>
          <w:szCs w:val="22"/>
        </w:rPr>
        <w:t>. TG-MM agreed to the proposal.</w:t>
      </w:r>
      <w:bookmarkEnd w:id="0"/>
      <w:r w:rsidRPr="008549C0">
        <w:rPr>
          <w:sz w:val="22"/>
          <w:szCs w:val="22"/>
        </w:rPr>
        <w:t xml:space="preserve"> </w:t>
      </w:r>
      <w:r w:rsidR="00DA0919">
        <w:rPr>
          <w:sz w:val="22"/>
          <w:szCs w:val="22"/>
        </w:rPr>
        <w:t xml:space="preserve">The </w:t>
      </w:r>
      <w:r w:rsidRPr="008549C0">
        <w:rPr>
          <w:sz w:val="22"/>
          <w:szCs w:val="22"/>
        </w:rPr>
        <w:t>main task</w:t>
      </w:r>
      <w:r w:rsidR="00DA0919">
        <w:rPr>
          <w:sz w:val="22"/>
          <w:szCs w:val="22"/>
        </w:rPr>
        <w:t xml:space="preserve"> </w:t>
      </w:r>
      <w:bookmarkStart w:id="1" w:name="_Hlk529191020"/>
      <w:r w:rsidR="00DA0919">
        <w:rPr>
          <w:sz w:val="22"/>
          <w:szCs w:val="22"/>
        </w:rPr>
        <w:t xml:space="preserve">of the group will be the </w:t>
      </w:r>
      <w:proofErr w:type="spellStart"/>
      <w:r w:rsidRPr="008549C0">
        <w:rPr>
          <w:sz w:val="22"/>
          <w:szCs w:val="22"/>
        </w:rPr>
        <w:t>organis</w:t>
      </w:r>
      <w:r w:rsidR="00DA0919">
        <w:rPr>
          <w:sz w:val="22"/>
          <w:szCs w:val="22"/>
        </w:rPr>
        <w:t>ation</w:t>
      </w:r>
      <w:proofErr w:type="spellEnd"/>
      <w:r w:rsidRPr="008549C0">
        <w:rPr>
          <w:sz w:val="22"/>
          <w:szCs w:val="22"/>
        </w:rPr>
        <w:t xml:space="preserve"> </w:t>
      </w:r>
      <w:r w:rsidR="00DA0919">
        <w:rPr>
          <w:sz w:val="22"/>
          <w:szCs w:val="22"/>
        </w:rPr>
        <w:t xml:space="preserve">of </w:t>
      </w:r>
      <w:r w:rsidRPr="008549C0">
        <w:rPr>
          <w:sz w:val="22"/>
          <w:szCs w:val="22"/>
        </w:rPr>
        <w:t>a fish summit</w:t>
      </w:r>
      <w:r w:rsidR="00961E6F" w:rsidRPr="008549C0">
        <w:rPr>
          <w:sz w:val="22"/>
          <w:szCs w:val="22"/>
        </w:rPr>
        <w:t>,</w:t>
      </w:r>
      <w:r w:rsidRPr="008549C0">
        <w:rPr>
          <w:sz w:val="22"/>
          <w:szCs w:val="22"/>
        </w:rPr>
        <w:t xml:space="preserve"> </w:t>
      </w:r>
      <w:r w:rsidR="00961E6F" w:rsidRPr="008549C0">
        <w:rPr>
          <w:sz w:val="22"/>
          <w:szCs w:val="22"/>
        </w:rPr>
        <w:t xml:space="preserve">which is </w:t>
      </w:r>
      <w:r w:rsidR="00EA66BD">
        <w:rPr>
          <w:sz w:val="22"/>
          <w:szCs w:val="22"/>
        </w:rPr>
        <w:t>intend</w:t>
      </w:r>
      <w:r w:rsidR="00961E6F" w:rsidRPr="008549C0">
        <w:rPr>
          <w:sz w:val="22"/>
          <w:szCs w:val="22"/>
        </w:rPr>
        <w:t>ed to attract</w:t>
      </w:r>
      <w:r w:rsidR="006E45D3">
        <w:rPr>
          <w:sz w:val="22"/>
          <w:szCs w:val="22"/>
        </w:rPr>
        <w:t xml:space="preserve"> and connect</w:t>
      </w:r>
      <w:r w:rsidR="00961E6F" w:rsidRPr="008549C0">
        <w:rPr>
          <w:sz w:val="22"/>
          <w:szCs w:val="22"/>
        </w:rPr>
        <w:t xml:space="preserve"> the scientific community </w:t>
      </w:r>
      <w:r w:rsidR="00DA0919">
        <w:rPr>
          <w:sz w:val="22"/>
          <w:szCs w:val="22"/>
        </w:rPr>
        <w:t xml:space="preserve">and </w:t>
      </w:r>
      <w:r w:rsidR="00961E6F" w:rsidRPr="008549C0">
        <w:rPr>
          <w:sz w:val="22"/>
          <w:szCs w:val="22"/>
        </w:rPr>
        <w:t xml:space="preserve">the </w:t>
      </w:r>
      <w:r w:rsidR="00DA0919">
        <w:rPr>
          <w:sz w:val="22"/>
          <w:szCs w:val="22"/>
        </w:rPr>
        <w:t>aim</w:t>
      </w:r>
      <w:r w:rsidR="00961E6F" w:rsidRPr="008549C0">
        <w:rPr>
          <w:sz w:val="22"/>
          <w:szCs w:val="22"/>
        </w:rPr>
        <w:t xml:space="preserve"> to establish a joint Swimway </w:t>
      </w:r>
      <w:proofErr w:type="spellStart"/>
      <w:r w:rsidR="00961E6F" w:rsidRPr="008549C0">
        <w:rPr>
          <w:sz w:val="22"/>
          <w:szCs w:val="22"/>
        </w:rPr>
        <w:t>programme</w:t>
      </w:r>
      <w:proofErr w:type="spellEnd"/>
      <w:r w:rsidR="00961E6F" w:rsidRPr="008549C0">
        <w:rPr>
          <w:sz w:val="22"/>
          <w:szCs w:val="22"/>
        </w:rPr>
        <w:t>.</w:t>
      </w:r>
      <w:r w:rsidR="006E45D3">
        <w:rPr>
          <w:sz w:val="22"/>
          <w:szCs w:val="22"/>
        </w:rPr>
        <w:t xml:space="preserve"> </w:t>
      </w:r>
      <w:r w:rsidR="00C53E4F">
        <w:rPr>
          <w:sz w:val="22"/>
          <w:szCs w:val="22"/>
        </w:rPr>
        <w:t>A</w:t>
      </w:r>
      <w:r w:rsidR="006E45D3" w:rsidRPr="006E45D3">
        <w:rPr>
          <w:sz w:val="22"/>
          <w:szCs w:val="22"/>
        </w:rPr>
        <w:t xml:space="preserve"> focus will be on the involvement of the scientific community in the generation of projects with a basic support by the TWSC. </w:t>
      </w:r>
      <w:r w:rsidR="00961E6F" w:rsidRPr="008549C0">
        <w:rPr>
          <w:sz w:val="22"/>
          <w:szCs w:val="22"/>
        </w:rPr>
        <w:t xml:space="preserve"> A trilateral committee, consisting of members of the Swimway group, </w:t>
      </w:r>
      <w:r w:rsidR="006E45D3">
        <w:rPr>
          <w:sz w:val="22"/>
          <w:szCs w:val="22"/>
        </w:rPr>
        <w:t xml:space="preserve">will be </w:t>
      </w:r>
      <w:r w:rsidR="00961E6F" w:rsidRPr="008549C0">
        <w:rPr>
          <w:sz w:val="22"/>
          <w:szCs w:val="22"/>
        </w:rPr>
        <w:t xml:space="preserve">discussing further specifications and topics for this conference. </w:t>
      </w:r>
      <w:bookmarkEnd w:id="1"/>
      <w:r w:rsidR="00961E6F" w:rsidRPr="008549C0">
        <w:rPr>
          <w:sz w:val="22"/>
          <w:szCs w:val="22"/>
        </w:rPr>
        <w:t>Furthermore, the group should</w:t>
      </w:r>
      <w:r w:rsidR="005A3E0F" w:rsidRPr="008549C0">
        <w:rPr>
          <w:sz w:val="22"/>
          <w:szCs w:val="22"/>
        </w:rPr>
        <w:t xml:space="preserve"> </w:t>
      </w:r>
      <w:r w:rsidRPr="008549C0">
        <w:rPr>
          <w:sz w:val="22"/>
          <w:szCs w:val="22"/>
        </w:rPr>
        <w:t xml:space="preserve">elaborate on ToR for the entire </w:t>
      </w:r>
      <w:proofErr w:type="spellStart"/>
      <w:r w:rsidRPr="008549C0">
        <w:rPr>
          <w:sz w:val="22"/>
          <w:szCs w:val="22"/>
        </w:rPr>
        <w:t>programme</w:t>
      </w:r>
      <w:proofErr w:type="spellEnd"/>
      <w:r w:rsidRPr="008549C0">
        <w:rPr>
          <w:sz w:val="22"/>
          <w:szCs w:val="22"/>
        </w:rPr>
        <w:t xml:space="preserve"> period. This will be done in close cooperation with TG-MM.</w:t>
      </w:r>
      <w:r w:rsidR="008549C0">
        <w:rPr>
          <w:sz w:val="22"/>
          <w:szCs w:val="22"/>
        </w:rPr>
        <w:t xml:space="preserve"> </w:t>
      </w:r>
    </w:p>
    <w:p w14:paraId="5165D0A5" w14:textId="77777777" w:rsidR="00AD62E7" w:rsidRPr="00993644" w:rsidRDefault="00AD62E7" w:rsidP="00AD62E7">
      <w:pPr>
        <w:spacing w:after="120" w:line="276" w:lineRule="auto"/>
        <w:rPr>
          <w:sz w:val="22"/>
          <w:szCs w:val="22"/>
        </w:rPr>
      </w:pPr>
      <w:r w:rsidRPr="00655A1A">
        <w:rPr>
          <w:b/>
          <w:sz w:val="22"/>
          <w:szCs w:val="22"/>
        </w:rPr>
        <w:t xml:space="preserve">Proposal: </w:t>
      </w:r>
      <w:r w:rsidRPr="00655A1A">
        <w:rPr>
          <w:b/>
          <w:sz w:val="22"/>
          <w:szCs w:val="22"/>
        </w:rPr>
        <w:tab/>
        <w:t xml:space="preserve">WSB is invited to </w:t>
      </w:r>
      <w:r w:rsidR="00993644">
        <w:rPr>
          <w:b/>
          <w:sz w:val="22"/>
          <w:szCs w:val="22"/>
        </w:rPr>
        <w:t>note the information.</w:t>
      </w:r>
    </w:p>
    <w:p w14:paraId="4A023C22" w14:textId="77777777" w:rsidR="005D492B" w:rsidRPr="005D492B" w:rsidRDefault="005D492B" w:rsidP="005D492B">
      <w:pPr>
        <w:spacing w:after="120" w:line="276" w:lineRule="auto"/>
        <w:rPr>
          <w:sz w:val="22"/>
          <w:szCs w:val="22"/>
        </w:rPr>
      </w:pPr>
    </w:p>
    <w:p w14:paraId="52C9B74C" w14:textId="77777777" w:rsidR="005D492B" w:rsidRPr="00655A1A" w:rsidRDefault="005D492B" w:rsidP="005D492B">
      <w:pPr>
        <w:spacing w:after="120" w:line="276" w:lineRule="auto"/>
        <w:rPr>
          <w:rFonts w:ascii="Arial" w:hAnsi="Arial" w:cs="Arial"/>
          <w:b/>
        </w:rPr>
      </w:pPr>
      <w:r w:rsidRPr="00655A1A">
        <w:rPr>
          <w:rFonts w:ascii="Arial" w:hAnsi="Arial" w:cs="Arial"/>
          <w:b/>
        </w:rPr>
        <w:t>Harbour porpoises</w:t>
      </w:r>
    </w:p>
    <w:p w14:paraId="1F89BB5F" w14:textId="77777777" w:rsidR="00BF19BB" w:rsidRPr="00BF19BB" w:rsidRDefault="00BF19BB" w:rsidP="005D492B">
      <w:pPr>
        <w:spacing w:after="120" w:line="276" w:lineRule="auto"/>
        <w:rPr>
          <w:i/>
          <w:sz w:val="22"/>
          <w:szCs w:val="22"/>
          <w:lang w:val="en-GB"/>
        </w:rPr>
      </w:pPr>
      <w:r w:rsidRPr="00BF19BB">
        <w:rPr>
          <w:i/>
          <w:sz w:val="22"/>
          <w:szCs w:val="22"/>
          <w:lang w:val="en-GB"/>
        </w:rPr>
        <w:t>LD Para 16. Agree to duly take account of the fact that harbour porpoises are present in the Wadden Sea, thus addressing the conservation of the species</w:t>
      </w:r>
      <w:r w:rsidR="00993644">
        <w:rPr>
          <w:i/>
          <w:sz w:val="22"/>
          <w:szCs w:val="22"/>
          <w:lang w:val="en-GB"/>
        </w:rPr>
        <w:t>.</w:t>
      </w:r>
    </w:p>
    <w:p w14:paraId="1AD7B618" w14:textId="3CBD28E8" w:rsidR="005A3E0F" w:rsidRPr="005D492B" w:rsidRDefault="005A3E0F" w:rsidP="005A3E0F">
      <w:pPr>
        <w:spacing w:after="120" w:line="276" w:lineRule="auto"/>
        <w:rPr>
          <w:sz w:val="22"/>
          <w:szCs w:val="22"/>
        </w:rPr>
      </w:pPr>
      <w:r w:rsidRPr="00BF19BB">
        <w:rPr>
          <w:sz w:val="22"/>
          <w:szCs w:val="22"/>
        </w:rPr>
        <w:t>A workshop on Harbour porpoises is planned for April 201</w:t>
      </w:r>
      <w:r>
        <w:rPr>
          <w:sz w:val="22"/>
          <w:szCs w:val="22"/>
        </w:rPr>
        <w:t>9</w:t>
      </w:r>
      <w:r w:rsidRPr="00BF19BB">
        <w:rPr>
          <w:sz w:val="22"/>
          <w:szCs w:val="22"/>
        </w:rPr>
        <w:t xml:space="preserve"> as part of the </w:t>
      </w:r>
      <w:r>
        <w:rPr>
          <w:sz w:val="22"/>
          <w:szCs w:val="22"/>
        </w:rPr>
        <w:t>“</w:t>
      </w:r>
      <w:r w:rsidRPr="00BF19BB">
        <w:rPr>
          <w:sz w:val="22"/>
          <w:szCs w:val="22"/>
        </w:rPr>
        <w:t>H</w:t>
      </w:r>
      <w:r>
        <w:rPr>
          <w:sz w:val="22"/>
          <w:szCs w:val="22"/>
        </w:rPr>
        <w:t>a</w:t>
      </w:r>
      <w:r w:rsidRPr="00BF19BB">
        <w:rPr>
          <w:sz w:val="22"/>
          <w:szCs w:val="22"/>
        </w:rPr>
        <w:t>rbour porpoise days 2019</w:t>
      </w:r>
      <w:r>
        <w:rPr>
          <w:sz w:val="22"/>
          <w:szCs w:val="22"/>
        </w:rPr>
        <w:t>”</w:t>
      </w:r>
      <w:r w:rsidRPr="00BF19BB">
        <w:rPr>
          <w:sz w:val="22"/>
          <w:szCs w:val="22"/>
        </w:rPr>
        <w:t xml:space="preserve"> in Wilhelmshaven, Germany.</w:t>
      </w:r>
      <w:r>
        <w:rPr>
          <w:sz w:val="22"/>
          <w:szCs w:val="22"/>
        </w:rPr>
        <w:t xml:space="preserve"> The original plans to host the workshop in autumn 2018 on the island of Sylt had to be postponed due to the workload at CWSS. </w:t>
      </w:r>
      <w:r w:rsidRPr="00BF19BB">
        <w:rPr>
          <w:sz w:val="22"/>
          <w:szCs w:val="22"/>
        </w:rPr>
        <w:t xml:space="preserve">The overall aim will be to collect </w:t>
      </w:r>
      <w:r>
        <w:rPr>
          <w:sz w:val="22"/>
          <w:szCs w:val="22"/>
        </w:rPr>
        <w:t xml:space="preserve">and evaluate </w:t>
      </w:r>
      <w:r w:rsidRPr="00BF19BB">
        <w:rPr>
          <w:sz w:val="22"/>
          <w:szCs w:val="22"/>
        </w:rPr>
        <w:t xml:space="preserve">information on the </w:t>
      </w:r>
      <w:r>
        <w:rPr>
          <w:sz w:val="22"/>
          <w:szCs w:val="22"/>
        </w:rPr>
        <w:t xml:space="preserve">specific </w:t>
      </w:r>
      <w:r w:rsidRPr="00BF19BB">
        <w:rPr>
          <w:sz w:val="22"/>
          <w:szCs w:val="22"/>
        </w:rPr>
        <w:t xml:space="preserve">ecological role of </w:t>
      </w:r>
      <w:r>
        <w:rPr>
          <w:sz w:val="22"/>
          <w:szCs w:val="22"/>
        </w:rPr>
        <w:t>Harbour Porpoises</w:t>
      </w:r>
      <w:r w:rsidRPr="00BF19BB">
        <w:rPr>
          <w:sz w:val="22"/>
          <w:szCs w:val="22"/>
        </w:rPr>
        <w:t xml:space="preserve"> in the Wadden Sea</w:t>
      </w:r>
      <w:r>
        <w:rPr>
          <w:sz w:val="22"/>
          <w:szCs w:val="22"/>
        </w:rPr>
        <w:t xml:space="preserve"> also</w:t>
      </w:r>
      <w:r w:rsidRPr="00BF19BB">
        <w:rPr>
          <w:sz w:val="22"/>
          <w:szCs w:val="22"/>
        </w:rPr>
        <w:t xml:space="preserve"> </w:t>
      </w:r>
      <w:r>
        <w:rPr>
          <w:sz w:val="22"/>
          <w:szCs w:val="22"/>
        </w:rPr>
        <w:t>with regard to the</w:t>
      </w:r>
      <w:r w:rsidRPr="00BF19BB">
        <w:rPr>
          <w:sz w:val="22"/>
          <w:szCs w:val="22"/>
        </w:rPr>
        <w:t xml:space="preserve"> adjacent North Sea waters. The information should exceed the basic discussion displayed within the corresponding QSR Thematic Report on marine mammals. Furthermore, the relation of any activities </w:t>
      </w:r>
      <w:r>
        <w:rPr>
          <w:sz w:val="22"/>
          <w:szCs w:val="22"/>
        </w:rPr>
        <w:t xml:space="preserve">of the TWSC with regard </w:t>
      </w:r>
      <w:r w:rsidRPr="00BF19BB">
        <w:rPr>
          <w:sz w:val="22"/>
          <w:szCs w:val="22"/>
        </w:rPr>
        <w:t>to ASCOBANS and OSPAR would need further clarification.</w:t>
      </w:r>
    </w:p>
    <w:p w14:paraId="6FAA67E6" w14:textId="77777777" w:rsidR="005D492B" w:rsidRPr="00655A1A" w:rsidRDefault="005D492B" w:rsidP="005D492B">
      <w:pPr>
        <w:spacing w:after="120" w:line="276" w:lineRule="auto"/>
        <w:rPr>
          <w:b/>
          <w:sz w:val="22"/>
          <w:szCs w:val="22"/>
        </w:rPr>
      </w:pPr>
      <w:r w:rsidRPr="00BF19BB">
        <w:rPr>
          <w:b/>
          <w:sz w:val="22"/>
          <w:szCs w:val="22"/>
        </w:rPr>
        <w:t>Proposal:</w:t>
      </w:r>
      <w:r w:rsidRPr="00BF19BB">
        <w:rPr>
          <w:b/>
          <w:sz w:val="22"/>
          <w:szCs w:val="22"/>
        </w:rPr>
        <w:tab/>
        <w:t>WSB is requested to endorse the approach.</w:t>
      </w:r>
    </w:p>
    <w:p w14:paraId="7760E5C1" w14:textId="77777777" w:rsidR="005D492B" w:rsidRPr="005D492B" w:rsidRDefault="005D492B" w:rsidP="005D492B">
      <w:pPr>
        <w:spacing w:after="120" w:line="276" w:lineRule="auto"/>
        <w:rPr>
          <w:sz w:val="22"/>
          <w:szCs w:val="22"/>
        </w:rPr>
      </w:pPr>
      <w:bookmarkStart w:id="2" w:name="_GoBack"/>
      <w:bookmarkEnd w:id="2"/>
    </w:p>
    <w:p w14:paraId="5B5B0FFA" w14:textId="77777777" w:rsidR="005D492B" w:rsidRPr="00655A1A" w:rsidRDefault="005D492B" w:rsidP="005D492B">
      <w:pPr>
        <w:spacing w:after="120" w:line="276" w:lineRule="auto"/>
        <w:rPr>
          <w:rFonts w:ascii="Arial" w:hAnsi="Arial" w:cs="Arial"/>
          <w:b/>
        </w:rPr>
      </w:pPr>
      <w:r w:rsidRPr="00655A1A">
        <w:rPr>
          <w:rFonts w:ascii="Arial" w:hAnsi="Arial" w:cs="Arial"/>
          <w:b/>
        </w:rPr>
        <w:t>Alien species</w:t>
      </w:r>
    </w:p>
    <w:p w14:paraId="4F80D531" w14:textId="77777777" w:rsidR="00993644" w:rsidRDefault="00993644" w:rsidP="005D492B">
      <w:pPr>
        <w:spacing w:after="120" w:line="276" w:lineRule="auto"/>
        <w:rPr>
          <w:i/>
          <w:sz w:val="22"/>
          <w:szCs w:val="22"/>
        </w:rPr>
      </w:pPr>
      <w:r>
        <w:rPr>
          <w:i/>
          <w:sz w:val="22"/>
          <w:szCs w:val="22"/>
        </w:rPr>
        <w:t xml:space="preserve">LD Para </w:t>
      </w:r>
      <w:r w:rsidRPr="00993644">
        <w:rPr>
          <w:i/>
          <w:sz w:val="22"/>
          <w:szCs w:val="22"/>
        </w:rPr>
        <w:t>17.</w:t>
      </w:r>
      <w:r>
        <w:rPr>
          <w:i/>
          <w:sz w:val="22"/>
          <w:szCs w:val="22"/>
        </w:rPr>
        <w:t xml:space="preserve"> </w:t>
      </w:r>
      <w:r w:rsidRPr="00993644">
        <w:rPr>
          <w:i/>
          <w:sz w:val="22"/>
          <w:szCs w:val="22"/>
        </w:rPr>
        <w:t xml:space="preserve">Instruct the Wadden Sea Board to undertake further steps towards a Trilateral Management and Action Plan Alien Species (MAPAS) (as described in Annex 4), which should include relevant steps for public awareness and cooperation on early warning and measures, integrating a related monitoring </w:t>
      </w:r>
      <w:proofErr w:type="spellStart"/>
      <w:r w:rsidRPr="00993644">
        <w:rPr>
          <w:i/>
          <w:sz w:val="22"/>
          <w:szCs w:val="22"/>
        </w:rPr>
        <w:t>programme</w:t>
      </w:r>
      <w:proofErr w:type="spellEnd"/>
      <w:r w:rsidRPr="00993644">
        <w:rPr>
          <w:i/>
          <w:sz w:val="22"/>
          <w:szCs w:val="22"/>
        </w:rPr>
        <w:t xml:space="preserve">, based on the national data </w:t>
      </w:r>
      <w:r w:rsidRPr="00993644">
        <w:rPr>
          <w:i/>
          <w:sz w:val="22"/>
          <w:szCs w:val="22"/>
        </w:rPr>
        <w:lastRenderedPageBreak/>
        <w:t>underpinning the Trilateral Assessment and Monitoring Programme, including the installation of the network platform at the Common Wadden Sea Secretariat</w:t>
      </w:r>
      <w:r>
        <w:rPr>
          <w:i/>
          <w:sz w:val="22"/>
          <w:szCs w:val="22"/>
        </w:rPr>
        <w:t>.</w:t>
      </w:r>
    </w:p>
    <w:p w14:paraId="1C7F9DCE" w14:textId="1CA2D974" w:rsidR="00B25E6A" w:rsidRDefault="001F65B2" w:rsidP="005D492B">
      <w:pPr>
        <w:spacing w:after="120" w:line="276" w:lineRule="auto"/>
        <w:rPr>
          <w:sz w:val="22"/>
          <w:szCs w:val="22"/>
        </w:rPr>
      </w:pPr>
      <w:r>
        <w:rPr>
          <w:sz w:val="22"/>
          <w:szCs w:val="22"/>
        </w:rPr>
        <w:t xml:space="preserve">The </w:t>
      </w:r>
      <w:r w:rsidRPr="001F65B2">
        <w:rPr>
          <w:sz w:val="22"/>
          <w:szCs w:val="22"/>
        </w:rPr>
        <w:t>ad hoc Working Group Alien Species</w:t>
      </w:r>
      <w:r>
        <w:rPr>
          <w:sz w:val="22"/>
          <w:szCs w:val="22"/>
        </w:rPr>
        <w:t xml:space="preserve"> will retain</w:t>
      </w:r>
      <w:r w:rsidRPr="001F65B2">
        <w:rPr>
          <w:sz w:val="22"/>
          <w:szCs w:val="22"/>
        </w:rPr>
        <w:t xml:space="preserve"> under the Task Group Management for the year 2019</w:t>
      </w:r>
      <w:r w:rsidR="00AD62E7">
        <w:rPr>
          <w:sz w:val="22"/>
          <w:szCs w:val="22"/>
        </w:rPr>
        <w:t>.</w:t>
      </w:r>
      <w:r w:rsidR="00993644">
        <w:rPr>
          <w:sz w:val="22"/>
          <w:szCs w:val="22"/>
        </w:rPr>
        <w:t xml:space="preserve"> The working group </w:t>
      </w:r>
      <w:r w:rsidR="00882BE6">
        <w:rPr>
          <w:sz w:val="22"/>
          <w:szCs w:val="22"/>
        </w:rPr>
        <w:t>was requested to</w:t>
      </w:r>
      <w:r w:rsidR="00993644">
        <w:rPr>
          <w:sz w:val="22"/>
          <w:szCs w:val="22"/>
        </w:rPr>
        <w:t xml:space="preserve"> incorporate final changes to the MAPAS and </w:t>
      </w:r>
      <w:r w:rsidR="00882BE6">
        <w:rPr>
          <w:sz w:val="22"/>
          <w:szCs w:val="22"/>
        </w:rPr>
        <w:t>to further</w:t>
      </w:r>
      <w:r w:rsidR="00993644">
        <w:rPr>
          <w:sz w:val="22"/>
          <w:szCs w:val="22"/>
        </w:rPr>
        <w:t xml:space="preserve"> elaborate on the communication plan which was rejected by TG-MM before</w:t>
      </w:r>
      <w:bookmarkStart w:id="3" w:name="_Hlk529190145"/>
      <w:r w:rsidR="00993644">
        <w:rPr>
          <w:sz w:val="22"/>
          <w:szCs w:val="22"/>
        </w:rPr>
        <w:t xml:space="preserve">. </w:t>
      </w:r>
      <w:r w:rsidR="00067AD3">
        <w:rPr>
          <w:sz w:val="22"/>
          <w:szCs w:val="22"/>
        </w:rPr>
        <w:t>In the meantime, WG-AS has provided a new version of the MAPAS on basis of the received comments.</w:t>
      </w:r>
    </w:p>
    <w:bookmarkEnd w:id="3"/>
    <w:p w14:paraId="66D5BBFA" w14:textId="77777777" w:rsidR="005D492B" w:rsidRPr="00655A1A" w:rsidRDefault="005D492B" w:rsidP="005D492B">
      <w:pPr>
        <w:spacing w:after="120" w:line="276" w:lineRule="auto"/>
        <w:rPr>
          <w:b/>
          <w:sz w:val="22"/>
          <w:szCs w:val="22"/>
        </w:rPr>
      </w:pPr>
      <w:r w:rsidRPr="001F65B2">
        <w:rPr>
          <w:b/>
          <w:sz w:val="22"/>
          <w:szCs w:val="22"/>
        </w:rPr>
        <w:t>Proposal:</w:t>
      </w:r>
      <w:r w:rsidRPr="001F65B2">
        <w:rPr>
          <w:b/>
          <w:sz w:val="22"/>
          <w:szCs w:val="22"/>
        </w:rPr>
        <w:tab/>
        <w:t>WSB is invited to note the information</w:t>
      </w:r>
      <w:r w:rsidR="00993644">
        <w:rPr>
          <w:b/>
          <w:sz w:val="22"/>
          <w:szCs w:val="22"/>
        </w:rPr>
        <w:t>.</w:t>
      </w:r>
    </w:p>
    <w:p w14:paraId="30996559" w14:textId="77777777" w:rsidR="00B25E6A" w:rsidRPr="00B25E6A" w:rsidRDefault="00B25E6A" w:rsidP="005D492B">
      <w:pPr>
        <w:spacing w:after="120" w:line="276" w:lineRule="auto"/>
        <w:rPr>
          <w:b/>
          <w:sz w:val="22"/>
          <w:szCs w:val="22"/>
          <w:lang w:val="en-GB"/>
        </w:rPr>
      </w:pPr>
    </w:p>
    <w:p w14:paraId="07D1E705" w14:textId="77777777" w:rsidR="00B25E6A" w:rsidRPr="00B25E6A" w:rsidRDefault="00B25E6A" w:rsidP="005D492B">
      <w:pPr>
        <w:spacing w:after="120" w:line="276" w:lineRule="auto"/>
        <w:rPr>
          <w:rFonts w:ascii="Arial" w:hAnsi="Arial" w:cs="Arial"/>
          <w:b/>
          <w:lang w:val="en-GB"/>
        </w:rPr>
      </w:pPr>
      <w:r w:rsidRPr="00B25E6A">
        <w:rPr>
          <w:rFonts w:ascii="Arial" w:hAnsi="Arial" w:cs="Arial"/>
          <w:b/>
          <w:lang w:val="en-GB"/>
        </w:rPr>
        <w:t>Sustainable Fisheries</w:t>
      </w:r>
    </w:p>
    <w:p w14:paraId="1A985C92" w14:textId="77777777" w:rsidR="005D492B" w:rsidRPr="00B25E6A" w:rsidRDefault="00B25E6A" w:rsidP="005D492B">
      <w:pPr>
        <w:spacing w:after="120" w:line="276" w:lineRule="auto"/>
        <w:rPr>
          <w:i/>
          <w:sz w:val="22"/>
          <w:szCs w:val="22"/>
          <w:lang w:val="en-GB"/>
        </w:rPr>
      </w:pPr>
      <w:r w:rsidRPr="00B25E6A">
        <w:rPr>
          <w:i/>
          <w:sz w:val="22"/>
          <w:szCs w:val="22"/>
          <w:lang w:val="en-GB"/>
        </w:rPr>
        <w:t>LD Para 21. Instruct the Wadden Sea Board to further develop steps for the sustainability of fisheries in the Wadden Sea Area on the trilateral level, in order to achieve the conservation objectives of the Trilateral Wadden Sea Cooperation as well as a level playing field. This should be done in close cooperation with responsible authorities and relevant stakeholders and initiatives (e.g. certification procedures), within the Framework for Sustainable Fisheries, taking into account both the importance of the ecosystem service of providing regional sea food in this respect and the integrity of the World Heritage Site.</w:t>
      </w:r>
    </w:p>
    <w:p w14:paraId="622417E4" w14:textId="4E82A240" w:rsidR="00AD62E7" w:rsidRDefault="00B25E6A" w:rsidP="005D492B">
      <w:pPr>
        <w:spacing w:after="120" w:line="276" w:lineRule="auto"/>
      </w:pPr>
      <w:r w:rsidRPr="00B25E6A">
        <w:t xml:space="preserve">TG-MM </w:t>
      </w:r>
      <w:r>
        <w:t xml:space="preserve">agreed to propose three options to the </w:t>
      </w:r>
      <w:r w:rsidR="005A3E0F">
        <w:t xml:space="preserve">TWSC </w:t>
      </w:r>
      <w:r>
        <w:t>review workshop</w:t>
      </w:r>
      <w:r w:rsidR="005A3E0F">
        <w:t xml:space="preserve"> in October</w:t>
      </w:r>
      <w:r>
        <w:t xml:space="preserve"> but also for the general handling of the issue in the future: a) elaboration of the topic in the framework of the World Heritage Management Plan; b) handling of fisheries to a certain extent in TG-MM and</w:t>
      </w:r>
      <w:r w:rsidR="005A3E0F">
        <w:t>/or</w:t>
      </w:r>
      <w:r>
        <w:t xml:space="preserve"> c) installing a (Task) group on fisheries.</w:t>
      </w:r>
    </w:p>
    <w:p w14:paraId="1DB57147" w14:textId="0D20B6C5" w:rsidR="00B25E6A" w:rsidRDefault="00B25E6A" w:rsidP="00B25E6A">
      <w:pPr>
        <w:spacing w:after="120" w:line="276" w:lineRule="auto"/>
        <w:rPr>
          <w:b/>
          <w:sz w:val="22"/>
          <w:szCs w:val="22"/>
        </w:rPr>
      </w:pPr>
      <w:r w:rsidRPr="00271634">
        <w:rPr>
          <w:b/>
          <w:sz w:val="22"/>
          <w:szCs w:val="22"/>
        </w:rPr>
        <w:t>Proposal:</w:t>
      </w:r>
      <w:r w:rsidRPr="00271634">
        <w:rPr>
          <w:b/>
          <w:sz w:val="22"/>
          <w:szCs w:val="22"/>
        </w:rPr>
        <w:tab/>
        <w:t xml:space="preserve">WSB is invited to </w:t>
      </w:r>
      <w:r>
        <w:rPr>
          <w:b/>
          <w:sz w:val="22"/>
          <w:szCs w:val="22"/>
        </w:rPr>
        <w:t>endorse the approach</w:t>
      </w:r>
      <w:r w:rsidRPr="00271634">
        <w:rPr>
          <w:b/>
          <w:sz w:val="22"/>
          <w:szCs w:val="22"/>
        </w:rPr>
        <w:t>.</w:t>
      </w:r>
    </w:p>
    <w:p w14:paraId="3B1069A0" w14:textId="77777777" w:rsidR="005A3E0F" w:rsidRPr="00271634" w:rsidRDefault="005A3E0F" w:rsidP="00B25E6A">
      <w:pPr>
        <w:pBdr>
          <w:bottom w:val="single" w:sz="6" w:space="1" w:color="auto"/>
        </w:pBdr>
        <w:spacing w:after="120" w:line="276" w:lineRule="auto"/>
        <w:rPr>
          <w:b/>
          <w:sz w:val="22"/>
          <w:szCs w:val="22"/>
        </w:rPr>
      </w:pPr>
    </w:p>
    <w:p w14:paraId="42579865" w14:textId="77777777" w:rsidR="005A3E0F" w:rsidRPr="005D492B" w:rsidRDefault="005A3E0F" w:rsidP="005D492B">
      <w:pPr>
        <w:spacing w:after="120" w:line="276" w:lineRule="auto"/>
        <w:rPr>
          <w:sz w:val="22"/>
          <w:szCs w:val="22"/>
        </w:rPr>
      </w:pPr>
    </w:p>
    <w:p w14:paraId="03161D72" w14:textId="77777777" w:rsidR="005D492B" w:rsidRPr="00655A1A" w:rsidRDefault="005D492B" w:rsidP="005D492B">
      <w:pPr>
        <w:spacing w:after="120" w:line="276" w:lineRule="auto"/>
        <w:rPr>
          <w:rFonts w:ascii="Arial" w:hAnsi="Arial" w:cs="Arial"/>
          <w:b/>
        </w:rPr>
      </w:pPr>
      <w:r w:rsidRPr="00655A1A">
        <w:rPr>
          <w:rFonts w:ascii="Arial" w:hAnsi="Arial" w:cs="Arial"/>
          <w:b/>
        </w:rPr>
        <w:t>Quality Status Report</w:t>
      </w:r>
    </w:p>
    <w:p w14:paraId="02745198" w14:textId="77777777" w:rsidR="005D492B" w:rsidRPr="00882BE6" w:rsidRDefault="005D492B" w:rsidP="005D492B">
      <w:pPr>
        <w:spacing w:after="120" w:line="276" w:lineRule="auto"/>
        <w:rPr>
          <w:sz w:val="22"/>
          <w:szCs w:val="22"/>
        </w:rPr>
      </w:pPr>
      <w:r w:rsidRPr="00882BE6">
        <w:rPr>
          <w:sz w:val="22"/>
          <w:szCs w:val="22"/>
        </w:rPr>
        <w:t>TD §61. Instruct the WSB to elaborate the next Wadden Sea Quality Status (Outlook) Report for 2016 in time for the 2018 Conference, in order also to be in line with the reporting cycles of the N2000 Directives and Marine Strategy Framework Directive.</w:t>
      </w:r>
    </w:p>
    <w:p w14:paraId="436AEA05" w14:textId="0279BB42" w:rsidR="005D492B" w:rsidRPr="005D492B" w:rsidRDefault="001F65B2" w:rsidP="00271634">
      <w:pPr>
        <w:spacing w:after="120" w:line="276" w:lineRule="auto"/>
        <w:rPr>
          <w:sz w:val="22"/>
          <w:szCs w:val="22"/>
        </w:rPr>
      </w:pPr>
      <w:r w:rsidRPr="00271634">
        <w:rPr>
          <w:sz w:val="22"/>
          <w:szCs w:val="22"/>
        </w:rPr>
        <w:t>During TG-MM 22, it was</w:t>
      </w:r>
      <w:r w:rsidR="005D492B" w:rsidRPr="00271634">
        <w:rPr>
          <w:sz w:val="22"/>
          <w:szCs w:val="22"/>
        </w:rPr>
        <w:t xml:space="preserve"> </w:t>
      </w:r>
      <w:r w:rsidRPr="00271634">
        <w:rPr>
          <w:sz w:val="22"/>
          <w:szCs w:val="22"/>
        </w:rPr>
        <w:t xml:space="preserve">agreed that CWSS, in </w:t>
      </w:r>
      <w:r w:rsidR="005815AD">
        <w:rPr>
          <w:sz w:val="22"/>
          <w:szCs w:val="22"/>
        </w:rPr>
        <w:t xml:space="preserve">close </w:t>
      </w:r>
      <w:r w:rsidRPr="00271634">
        <w:rPr>
          <w:sz w:val="22"/>
          <w:szCs w:val="22"/>
        </w:rPr>
        <w:t>cooperation with the Editorial Board</w:t>
      </w:r>
      <w:r w:rsidR="005815AD">
        <w:rPr>
          <w:sz w:val="22"/>
          <w:szCs w:val="22"/>
        </w:rPr>
        <w:t>,</w:t>
      </w:r>
      <w:r w:rsidRPr="00271634">
        <w:rPr>
          <w:sz w:val="22"/>
          <w:szCs w:val="22"/>
        </w:rPr>
        <w:t xml:space="preserve"> w</w:t>
      </w:r>
      <w:r w:rsidR="005815AD">
        <w:rPr>
          <w:sz w:val="22"/>
          <w:szCs w:val="22"/>
        </w:rPr>
        <w:t>o</w:t>
      </w:r>
      <w:r w:rsidRPr="00271634">
        <w:rPr>
          <w:sz w:val="22"/>
          <w:szCs w:val="22"/>
        </w:rPr>
        <w:t xml:space="preserve">uld draft a </w:t>
      </w:r>
      <w:r w:rsidR="005815AD">
        <w:rPr>
          <w:sz w:val="22"/>
          <w:szCs w:val="22"/>
        </w:rPr>
        <w:t>n</w:t>
      </w:r>
      <w:r w:rsidRPr="00271634">
        <w:rPr>
          <w:sz w:val="22"/>
          <w:szCs w:val="22"/>
        </w:rPr>
        <w:t>ew version</w:t>
      </w:r>
      <w:r w:rsidR="005D492B" w:rsidRPr="00271634">
        <w:rPr>
          <w:sz w:val="22"/>
          <w:szCs w:val="22"/>
        </w:rPr>
        <w:t xml:space="preserve"> of the QSR Synthesis Report, </w:t>
      </w:r>
      <w:r w:rsidRPr="00271634">
        <w:rPr>
          <w:sz w:val="22"/>
          <w:szCs w:val="22"/>
        </w:rPr>
        <w:t xml:space="preserve">based on the received comments. TG-MM acknowledged </w:t>
      </w:r>
      <w:r w:rsidR="00271634" w:rsidRPr="00271634">
        <w:rPr>
          <w:sz w:val="22"/>
          <w:szCs w:val="22"/>
        </w:rPr>
        <w:t xml:space="preserve">the initial procedure that the members </w:t>
      </w:r>
      <w:r w:rsidR="005A3E0F">
        <w:rPr>
          <w:sz w:val="22"/>
          <w:szCs w:val="22"/>
        </w:rPr>
        <w:t xml:space="preserve">of the </w:t>
      </w:r>
      <w:r w:rsidR="00271634" w:rsidRPr="00271634">
        <w:rPr>
          <w:sz w:val="22"/>
          <w:szCs w:val="22"/>
        </w:rPr>
        <w:t xml:space="preserve">Editorial Board </w:t>
      </w:r>
      <w:r w:rsidR="005815AD">
        <w:rPr>
          <w:sz w:val="22"/>
          <w:szCs w:val="22"/>
        </w:rPr>
        <w:t>are</w:t>
      </w:r>
      <w:r w:rsidR="00271634" w:rsidRPr="00271634">
        <w:rPr>
          <w:sz w:val="22"/>
          <w:szCs w:val="22"/>
        </w:rPr>
        <w:t xml:space="preserve"> the authors</w:t>
      </w:r>
      <w:r w:rsidR="005815AD">
        <w:rPr>
          <w:sz w:val="22"/>
          <w:szCs w:val="22"/>
        </w:rPr>
        <w:t xml:space="preserve"> of the Synthesis Report</w:t>
      </w:r>
      <w:r w:rsidR="00271634" w:rsidRPr="00271634">
        <w:rPr>
          <w:sz w:val="22"/>
          <w:szCs w:val="22"/>
        </w:rPr>
        <w:t xml:space="preserve"> and </w:t>
      </w:r>
      <w:r w:rsidR="005815AD">
        <w:rPr>
          <w:sz w:val="22"/>
          <w:szCs w:val="22"/>
        </w:rPr>
        <w:t>are therefore</w:t>
      </w:r>
      <w:r w:rsidR="00271634" w:rsidRPr="00271634">
        <w:rPr>
          <w:sz w:val="22"/>
          <w:szCs w:val="22"/>
        </w:rPr>
        <w:t xml:space="preserve"> responsible for the content</w:t>
      </w:r>
      <w:r w:rsidR="005A3E0F">
        <w:rPr>
          <w:sz w:val="22"/>
          <w:szCs w:val="22"/>
        </w:rPr>
        <w:t>, taking into account that WSB requested</w:t>
      </w:r>
      <w:r w:rsidR="005A3E0F" w:rsidRPr="00256F94">
        <w:t xml:space="preserve"> </w:t>
      </w:r>
      <w:r w:rsidR="005A3E0F" w:rsidRPr="00256F94">
        <w:rPr>
          <w:sz w:val="22"/>
          <w:szCs w:val="22"/>
        </w:rPr>
        <w:t>submission of the report before publication</w:t>
      </w:r>
      <w:r w:rsidR="00271634" w:rsidRPr="00271634">
        <w:rPr>
          <w:sz w:val="22"/>
          <w:szCs w:val="22"/>
        </w:rPr>
        <w:t>. The new draft is pending due to the workload of CWSS</w:t>
      </w:r>
      <w:r w:rsidR="005815AD">
        <w:rPr>
          <w:sz w:val="22"/>
          <w:szCs w:val="22"/>
        </w:rPr>
        <w:t>.</w:t>
      </w:r>
    </w:p>
    <w:p w14:paraId="77A09C52" w14:textId="77777777" w:rsidR="005D492B" w:rsidRPr="00271634" w:rsidRDefault="005D492B" w:rsidP="005D492B">
      <w:pPr>
        <w:spacing w:after="120" w:line="276" w:lineRule="auto"/>
        <w:rPr>
          <w:b/>
          <w:sz w:val="22"/>
          <w:szCs w:val="22"/>
        </w:rPr>
      </w:pPr>
      <w:r w:rsidRPr="00271634">
        <w:rPr>
          <w:b/>
          <w:sz w:val="22"/>
          <w:szCs w:val="22"/>
        </w:rPr>
        <w:t>Proposal:</w:t>
      </w:r>
      <w:r w:rsidRPr="00271634">
        <w:rPr>
          <w:b/>
          <w:sz w:val="22"/>
          <w:szCs w:val="22"/>
        </w:rPr>
        <w:tab/>
        <w:t>WSB is invited to note the information</w:t>
      </w:r>
      <w:r w:rsidR="00271634" w:rsidRPr="00271634">
        <w:rPr>
          <w:b/>
          <w:sz w:val="22"/>
          <w:szCs w:val="22"/>
        </w:rPr>
        <w:t>.</w:t>
      </w:r>
    </w:p>
    <w:p w14:paraId="6799FE88" w14:textId="77777777" w:rsidR="00271634" w:rsidRPr="005D492B" w:rsidRDefault="00271634" w:rsidP="005D492B">
      <w:pPr>
        <w:spacing w:after="120" w:line="276" w:lineRule="auto"/>
        <w:rPr>
          <w:sz w:val="22"/>
          <w:szCs w:val="22"/>
        </w:rPr>
      </w:pPr>
    </w:p>
    <w:p w14:paraId="19C69448" w14:textId="77777777" w:rsidR="00AD62E7" w:rsidRPr="00884A64" w:rsidRDefault="00AD62E7" w:rsidP="00AD62E7">
      <w:pPr>
        <w:spacing w:after="120" w:line="276" w:lineRule="auto"/>
        <w:rPr>
          <w:rFonts w:ascii="Arial" w:hAnsi="Arial" w:cs="Arial"/>
          <w:b/>
          <w:szCs w:val="28"/>
        </w:rPr>
      </w:pPr>
      <w:r w:rsidRPr="005D492B">
        <w:rPr>
          <w:rFonts w:ascii="Arial" w:hAnsi="Arial" w:cs="Arial"/>
          <w:b/>
          <w:szCs w:val="28"/>
        </w:rPr>
        <w:t>N2000 roof report</w:t>
      </w:r>
    </w:p>
    <w:p w14:paraId="72333EB5" w14:textId="77777777" w:rsidR="00AD62E7" w:rsidRPr="00AD62E7" w:rsidRDefault="00AD62E7" w:rsidP="00AD62E7">
      <w:pPr>
        <w:spacing w:after="120" w:line="276" w:lineRule="auto"/>
        <w:rPr>
          <w:i/>
          <w:sz w:val="22"/>
          <w:szCs w:val="22"/>
        </w:rPr>
      </w:pPr>
      <w:r w:rsidRPr="00AD62E7">
        <w:rPr>
          <w:b/>
          <w:i/>
          <w:sz w:val="22"/>
          <w:szCs w:val="22"/>
        </w:rPr>
        <w:t>TD</w:t>
      </w:r>
      <w:r w:rsidRPr="00AD62E7">
        <w:rPr>
          <w:i/>
          <w:sz w:val="22"/>
          <w:szCs w:val="22"/>
        </w:rPr>
        <w:t xml:space="preserve"> §23 Agree therefore to cooperate in evaluating the assessments under the Habitats Directive, also with the aim to prepare a common Natura 2000 roof report for the Wadden Sea.</w:t>
      </w:r>
    </w:p>
    <w:p w14:paraId="32F99A91" w14:textId="77777777" w:rsidR="00AD62E7" w:rsidRPr="00BF19BB" w:rsidRDefault="00AD62E7" w:rsidP="00AD62E7">
      <w:pPr>
        <w:rPr>
          <w:sz w:val="22"/>
          <w:szCs w:val="22"/>
        </w:rPr>
      </w:pPr>
      <w:r w:rsidRPr="00BF19BB">
        <w:rPr>
          <w:sz w:val="22"/>
          <w:szCs w:val="22"/>
        </w:rPr>
        <w:lastRenderedPageBreak/>
        <w:t>Experts from the Danish Centre for Environment and Energy (DCE) were contacted as potential contractors for the</w:t>
      </w:r>
      <w:r w:rsidR="005815AD">
        <w:rPr>
          <w:sz w:val="22"/>
          <w:szCs w:val="22"/>
        </w:rPr>
        <w:t xml:space="preserve"> creation of the</w:t>
      </w:r>
      <w:r w:rsidRPr="00BF19BB">
        <w:rPr>
          <w:sz w:val="22"/>
          <w:szCs w:val="22"/>
        </w:rPr>
        <w:t xml:space="preserve"> roof report. Due to workload, they informed that a common roof report would not be possible before 2019. The experts explained, that the regions reported in three different ways and it would be necessary to agree on a single procedure </w:t>
      </w:r>
      <w:r w:rsidR="005815AD">
        <w:rPr>
          <w:sz w:val="22"/>
          <w:szCs w:val="22"/>
        </w:rPr>
        <w:t xml:space="preserve">for </w:t>
      </w:r>
      <w:r w:rsidRPr="00BF19BB">
        <w:rPr>
          <w:sz w:val="22"/>
          <w:szCs w:val="22"/>
        </w:rPr>
        <w:t>future common reporting.</w:t>
      </w:r>
    </w:p>
    <w:p w14:paraId="2CAB8D69" w14:textId="77777777" w:rsidR="00AD62E7" w:rsidRDefault="00AD62E7" w:rsidP="00AD62E7">
      <w:pPr>
        <w:spacing w:after="120" w:line="276" w:lineRule="auto"/>
        <w:rPr>
          <w:sz w:val="22"/>
          <w:szCs w:val="22"/>
          <w:highlight w:val="yellow"/>
        </w:rPr>
      </w:pPr>
    </w:p>
    <w:p w14:paraId="4C5CBBBA" w14:textId="5F850514" w:rsidR="00AD62E7" w:rsidRPr="00655A1A" w:rsidRDefault="00AD62E7" w:rsidP="00AD62E7">
      <w:pPr>
        <w:spacing w:after="120" w:line="276" w:lineRule="auto"/>
        <w:rPr>
          <w:b/>
          <w:sz w:val="22"/>
          <w:szCs w:val="22"/>
        </w:rPr>
      </w:pPr>
      <w:r w:rsidRPr="00BF19BB">
        <w:rPr>
          <w:b/>
          <w:sz w:val="22"/>
          <w:szCs w:val="22"/>
        </w:rPr>
        <w:t>Proposal:</w:t>
      </w:r>
      <w:r w:rsidRPr="00BF19BB">
        <w:rPr>
          <w:b/>
          <w:sz w:val="22"/>
          <w:szCs w:val="22"/>
        </w:rPr>
        <w:tab/>
        <w:t xml:space="preserve">WSB is </w:t>
      </w:r>
      <w:r w:rsidR="005A3E0F">
        <w:rPr>
          <w:b/>
          <w:sz w:val="22"/>
          <w:szCs w:val="22"/>
        </w:rPr>
        <w:t xml:space="preserve">invited to </w:t>
      </w:r>
      <w:r w:rsidRPr="00BF19BB">
        <w:rPr>
          <w:b/>
          <w:sz w:val="22"/>
          <w:szCs w:val="22"/>
        </w:rPr>
        <w:t>note the information.</w:t>
      </w:r>
    </w:p>
    <w:p w14:paraId="1C9AAC75" w14:textId="77777777" w:rsidR="00AD62E7" w:rsidRPr="00655A1A" w:rsidRDefault="00AD62E7" w:rsidP="005D492B">
      <w:pPr>
        <w:spacing w:after="120" w:line="276" w:lineRule="auto"/>
        <w:rPr>
          <w:b/>
          <w:sz w:val="22"/>
          <w:szCs w:val="22"/>
        </w:rPr>
      </w:pPr>
    </w:p>
    <w:sectPr w:rsidR="00AD62E7" w:rsidRPr="00655A1A" w:rsidSect="001C042F">
      <w:headerReference w:type="default" r:id="rId9"/>
      <w:foot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C4B88" w14:textId="77777777" w:rsidR="001F4743" w:rsidRDefault="001F4743">
      <w:r>
        <w:separator/>
      </w:r>
    </w:p>
  </w:endnote>
  <w:endnote w:type="continuationSeparator" w:id="0">
    <w:p w14:paraId="21D3341E" w14:textId="77777777" w:rsidR="001F4743" w:rsidRDefault="001F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0C7" w14:textId="13D5B46B"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FC4063">
      <w:rPr>
        <w:noProof/>
        <w:sz w:val="20"/>
        <w:szCs w:val="20"/>
      </w:rPr>
      <w:t>2</w:t>
    </w:r>
    <w:r w:rsidRPr="00884A64">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7E7EA" w14:textId="77777777" w:rsidR="001F4743" w:rsidRDefault="001F4743">
      <w:r>
        <w:separator/>
      </w:r>
    </w:p>
  </w:footnote>
  <w:footnote w:type="continuationSeparator" w:id="0">
    <w:p w14:paraId="2E2FCF4D" w14:textId="77777777" w:rsidR="001F4743" w:rsidRDefault="001F4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3598B" w14:textId="77777777" w:rsidR="001C042F" w:rsidRPr="00FF5F12" w:rsidRDefault="008E5954" w:rsidP="001C042F">
    <w:pPr>
      <w:pStyle w:val="Kopfzeile"/>
      <w:jc w:val="both"/>
      <w:rPr>
        <w:sz w:val="16"/>
        <w:szCs w:val="16"/>
      </w:rPr>
    </w:pPr>
    <w:r w:rsidRPr="00FF5F12">
      <w:rPr>
        <w:sz w:val="16"/>
        <w:szCs w:val="16"/>
      </w:rPr>
      <w:t>WSB</w:t>
    </w:r>
    <w:r w:rsidR="001C042F" w:rsidRPr="00FF5F12">
      <w:rPr>
        <w:sz w:val="16"/>
        <w:szCs w:val="16"/>
      </w:rPr>
      <w:t xml:space="preserve"> </w:t>
    </w:r>
    <w:r w:rsidR="00CB0F49" w:rsidRPr="00FF5F12">
      <w:rPr>
        <w:sz w:val="16"/>
        <w:szCs w:val="16"/>
      </w:rPr>
      <w:t>2</w:t>
    </w:r>
    <w:r w:rsidR="003D3CFD" w:rsidRPr="00FF5F12">
      <w:rPr>
        <w:sz w:val="16"/>
        <w:szCs w:val="16"/>
      </w:rPr>
      <w:t>7</w:t>
    </w:r>
    <w:r w:rsidR="007D5514" w:rsidRPr="00FF5F12">
      <w:rPr>
        <w:sz w:val="16"/>
        <w:szCs w:val="16"/>
      </w:rPr>
      <w:t>/</w:t>
    </w:r>
    <w:r w:rsidR="003D3CFD" w:rsidRPr="00FF5F12">
      <w:rPr>
        <w:sz w:val="16"/>
        <w:szCs w:val="16"/>
      </w:rPr>
      <w:t>5.</w:t>
    </w:r>
    <w:r w:rsidR="00655A1A" w:rsidRPr="00FF5F12">
      <w:rPr>
        <w:sz w:val="16"/>
        <w:szCs w:val="16"/>
      </w:rPr>
      <w:t>2</w:t>
    </w:r>
    <w:r w:rsidR="00FF5F12" w:rsidRPr="00FF5F12">
      <w:rPr>
        <w:sz w:val="16"/>
        <w:szCs w:val="16"/>
      </w:rPr>
      <w:t>/1 TG-MM Report</w:t>
    </w:r>
    <w:r w:rsidR="000E286C" w:rsidRPr="00FF5F12">
      <w:rPr>
        <w:sz w:val="16"/>
        <w:szCs w:val="16"/>
      </w:rPr>
      <w:t xml:space="preserve"> </w:t>
    </w:r>
    <w:r w:rsidR="001C042F" w:rsidRPr="00FF5F12">
      <w:rPr>
        <w:sz w:val="16"/>
        <w:szCs w:val="16"/>
      </w:rPr>
      <w:tab/>
    </w:r>
    <w:r w:rsidR="001C042F" w:rsidRPr="00FF5F12">
      <w:rPr>
        <w:sz w:val="16"/>
        <w:szCs w:val="16"/>
      </w:rPr>
      <w:tab/>
    </w:r>
    <w:r w:rsidR="001C042F" w:rsidRPr="00FF5F12">
      <w:rPr>
        <w:sz w:val="16"/>
        <w:szCs w:val="16"/>
      </w:rPr>
      <w:tab/>
    </w:r>
    <w:r w:rsidR="001C042F" w:rsidRPr="00FF5F12">
      <w:rPr>
        <w:sz w:val="16"/>
        <w:szCs w:val="16"/>
      </w:rPr>
      <w:tab/>
    </w:r>
  </w:p>
  <w:p w14:paraId="044F141F" w14:textId="77777777" w:rsidR="001C042F" w:rsidRPr="00884A64" w:rsidRDefault="001C042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15:restartNumberingAfterBreak="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15:restartNumberingAfterBreak="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15:restartNumberingAfterBreak="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15:restartNumberingAfterBreak="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363D3"/>
    <w:rsid w:val="00044B5D"/>
    <w:rsid w:val="00051122"/>
    <w:rsid w:val="00063107"/>
    <w:rsid w:val="00066FC4"/>
    <w:rsid w:val="00067AD3"/>
    <w:rsid w:val="000701AF"/>
    <w:rsid w:val="00073E29"/>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A0106"/>
    <w:rsid w:val="001B785E"/>
    <w:rsid w:val="001C042F"/>
    <w:rsid w:val="001F4743"/>
    <w:rsid w:val="001F65B2"/>
    <w:rsid w:val="002054A8"/>
    <w:rsid w:val="002108D8"/>
    <w:rsid w:val="00212819"/>
    <w:rsid w:val="002160AA"/>
    <w:rsid w:val="00227E91"/>
    <w:rsid w:val="00241433"/>
    <w:rsid w:val="00242A26"/>
    <w:rsid w:val="00252FED"/>
    <w:rsid w:val="00254860"/>
    <w:rsid w:val="00271634"/>
    <w:rsid w:val="002A6524"/>
    <w:rsid w:val="002A6C34"/>
    <w:rsid w:val="002B3957"/>
    <w:rsid w:val="002C3B3E"/>
    <w:rsid w:val="002D7C58"/>
    <w:rsid w:val="002D7DF5"/>
    <w:rsid w:val="002E1763"/>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3CFD"/>
    <w:rsid w:val="003D5EE2"/>
    <w:rsid w:val="003D6420"/>
    <w:rsid w:val="003D6D11"/>
    <w:rsid w:val="003E6517"/>
    <w:rsid w:val="003E673D"/>
    <w:rsid w:val="003E7000"/>
    <w:rsid w:val="003F3217"/>
    <w:rsid w:val="003F52C8"/>
    <w:rsid w:val="0041392A"/>
    <w:rsid w:val="0041642B"/>
    <w:rsid w:val="004634D9"/>
    <w:rsid w:val="00464803"/>
    <w:rsid w:val="0047073F"/>
    <w:rsid w:val="00473646"/>
    <w:rsid w:val="0048039B"/>
    <w:rsid w:val="004811CF"/>
    <w:rsid w:val="0049559C"/>
    <w:rsid w:val="00497C54"/>
    <w:rsid w:val="004B18F8"/>
    <w:rsid w:val="004D45EE"/>
    <w:rsid w:val="004E702E"/>
    <w:rsid w:val="004F7255"/>
    <w:rsid w:val="0052327A"/>
    <w:rsid w:val="00523334"/>
    <w:rsid w:val="005507A2"/>
    <w:rsid w:val="005530E3"/>
    <w:rsid w:val="0055335E"/>
    <w:rsid w:val="00566883"/>
    <w:rsid w:val="00576FC0"/>
    <w:rsid w:val="005815AD"/>
    <w:rsid w:val="00583932"/>
    <w:rsid w:val="005915E0"/>
    <w:rsid w:val="0059339A"/>
    <w:rsid w:val="005957EC"/>
    <w:rsid w:val="0059757A"/>
    <w:rsid w:val="005A17D3"/>
    <w:rsid w:val="005A3E0F"/>
    <w:rsid w:val="005B1554"/>
    <w:rsid w:val="005C366D"/>
    <w:rsid w:val="005C4D1E"/>
    <w:rsid w:val="005D492B"/>
    <w:rsid w:val="005E36D7"/>
    <w:rsid w:val="005F18A8"/>
    <w:rsid w:val="005F2743"/>
    <w:rsid w:val="005F586A"/>
    <w:rsid w:val="00615200"/>
    <w:rsid w:val="006264FF"/>
    <w:rsid w:val="006363AB"/>
    <w:rsid w:val="006444C3"/>
    <w:rsid w:val="00645A19"/>
    <w:rsid w:val="00646DAB"/>
    <w:rsid w:val="00650ABF"/>
    <w:rsid w:val="00655A1A"/>
    <w:rsid w:val="00682659"/>
    <w:rsid w:val="00697EC8"/>
    <w:rsid w:val="006A0819"/>
    <w:rsid w:val="006B0DAC"/>
    <w:rsid w:val="006B1F5B"/>
    <w:rsid w:val="006C6D65"/>
    <w:rsid w:val="006D0998"/>
    <w:rsid w:val="006D1CAE"/>
    <w:rsid w:val="006D4D17"/>
    <w:rsid w:val="006D503E"/>
    <w:rsid w:val="006E45D3"/>
    <w:rsid w:val="006F57CB"/>
    <w:rsid w:val="007019FC"/>
    <w:rsid w:val="00704B5F"/>
    <w:rsid w:val="00705336"/>
    <w:rsid w:val="0072110C"/>
    <w:rsid w:val="007240E0"/>
    <w:rsid w:val="00724801"/>
    <w:rsid w:val="0072516E"/>
    <w:rsid w:val="00743721"/>
    <w:rsid w:val="007539CC"/>
    <w:rsid w:val="00754D75"/>
    <w:rsid w:val="007563CD"/>
    <w:rsid w:val="00761403"/>
    <w:rsid w:val="007728B8"/>
    <w:rsid w:val="00772EC9"/>
    <w:rsid w:val="0078654F"/>
    <w:rsid w:val="00790E8F"/>
    <w:rsid w:val="007976A5"/>
    <w:rsid w:val="007A0319"/>
    <w:rsid w:val="007B729F"/>
    <w:rsid w:val="007B73FA"/>
    <w:rsid w:val="007C501F"/>
    <w:rsid w:val="007C7BD3"/>
    <w:rsid w:val="007D5514"/>
    <w:rsid w:val="007E2E72"/>
    <w:rsid w:val="007F45C5"/>
    <w:rsid w:val="007F67AB"/>
    <w:rsid w:val="008220BC"/>
    <w:rsid w:val="008236A8"/>
    <w:rsid w:val="00824914"/>
    <w:rsid w:val="00840BD4"/>
    <w:rsid w:val="00853159"/>
    <w:rsid w:val="008549C0"/>
    <w:rsid w:val="00882BE6"/>
    <w:rsid w:val="00884A64"/>
    <w:rsid w:val="008965D1"/>
    <w:rsid w:val="008A01BE"/>
    <w:rsid w:val="008B6DC3"/>
    <w:rsid w:val="008C1B3E"/>
    <w:rsid w:val="008C1C3A"/>
    <w:rsid w:val="008C5C75"/>
    <w:rsid w:val="008D07C9"/>
    <w:rsid w:val="008D2832"/>
    <w:rsid w:val="008D7682"/>
    <w:rsid w:val="008E5954"/>
    <w:rsid w:val="008F135B"/>
    <w:rsid w:val="008F7716"/>
    <w:rsid w:val="00900B48"/>
    <w:rsid w:val="00911BD5"/>
    <w:rsid w:val="009128C7"/>
    <w:rsid w:val="00925EF4"/>
    <w:rsid w:val="0094113A"/>
    <w:rsid w:val="00950873"/>
    <w:rsid w:val="009517FA"/>
    <w:rsid w:val="00961E6F"/>
    <w:rsid w:val="00965C3E"/>
    <w:rsid w:val="009719CA"/>
    <w:rsid w:val="00973022"/>
    <w:rsid w:val="00975C6B"/>
    <w:rsid w:val="00982C8B"/>
    <w:rsid w:val="00993644"/>
    <w:rsid w:val="009A2079"/>
    <w:rsid w:val="009B54B3"/>
    <w:rsid w:val="009D01E2"/>
    <w:rsid w:val="009D105B"/>
    <w:rsid w:val="009D6A3D"/>
    <w:rsid w:val="009E33FE"/>
    <w:rsid w:val="009E6684"/>
    <w:rsid w:val="009E7C2C"/>
    <w:rsid w:val="009F331C"/>
    <w:rsid w:val="00A1036A"/>
    <w:rsid w:val="00A12765"/>
    <w:rsid w:val="00A13D27"/>
    <w:rsid w:val="00A20BC6"/>
    <w:rsid w:val="00A30F08"/>
    <w:rsid w:val="00A47D81"/>
    <w:rsid w:val="00A55A4E"/>
    <w:rsid w:val="00A80F47"/>
    <w:rsid w:val="00A8235D"/>
    <w:rsid w:val="00A86C28"/>
    <w:rsid w:val="00A875C8"/>
    <w:rsid w:val="00A915FB"/>
    <w:rsid w:val="00AC2926"/>
    <w:rsid w:val="00AD62E7"/>
    <w:rsid w:val="00AE651C"/>
    <w:rsid w:val="00AF0431"/>
    <w:rsid w:val="00AF094D"/>
    <w:rsid w:val="00AF263A"/>
    <w:rsid w:val="00B07A4C"/>
    <w:rsid w:val="00B1013D"/>
    <w:rsid w:val="00B1024D"/>
    <w:rsid w:val="00B15106"/>
    <w:rsid w:val="00B25E6A"/>
    <w:rsid w:val="00B45E4C"/>
    <w:rsid w:val="00B45FA5"/>
    <w:rsid w:val="00B61315"/>
    <w:rsid w:val="00B708A6"/>
    <w:rsid w:val="00B72F28"/>
    <w:rsid w:val="00B74A40"/>
    <w:rsid w:val="00B77454"/>
    <w:rsid w:val="00B917A8"/>
    <w:rsid w:val="00BA0DF4"/>
    <w:rsid w:val="00BA3925"/>
    <w:rsid w:val="00BB539C"/>
    <w:rsid w:val="00BB654B"/>
    <w:rsid w:val="00BB72BE"/>
    <w:rsid w:val="00BC4357"/>
    <w:rsid w:val="00BD4531"/>
    <w:rsid w:val="00BE4BF3"/>
    <w:rsid w:val="00BF19BB"/>
    <w:rsid w:val="00C066DF"/>
    <w:rsid w:val="00C15340"/>
    <w:rsid w:val="00C23468"/>
    <w:rsid w:val="00C25297"/>
    <w:rsid w:val="00C53E4F"/>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06D60"/>
    <w:rsid w:val="00D101BA"/>
    <w:rsid w:val="00D10487"/>
    <w:rsid w:val="00D37A59"/>
    <w:rsid w:val="00D541BC"/>
    <w:rsid w:val="00D714D5"/>
    <w:rsid w:val="00D71C4A"/>
    <w:rsid w:val="00D77486"/>
    <w:rsid w:val="00D82250"/>
    <w:rsid w:val="00D90053"/>
    <w:rsid w:val="00DA0919"/>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A66BD"/>
    <w:rsid w:val="00EC0CDB"/>
    <w:rsid w:val="00EC431E"/>
    <w:rsid w:val="00EC5696"/>
    <w:rsid w:val="00EE23C0"/>
    <w:rsid w:val="00EE25B5"/>
    <w:rsid w:val="00EF1778"/>
    <w:rsid w:val="00F03871"/>
    <w:rsid w:val="00F05116"/>
    <w:rsid w:val="00F52682"/>
    <w:rsid w:val="00F62E2B"/>
    <w:rsid w:val="00F73795"/>
    <w:rsid w:val="00F77F84"/>
    <w:rsid w:val="00F872A7"/>
    <w:rsid w:val="00F912C1"/>
    <w:rsid w:val="00F91478"/>
    <w:rsid w:val="00F97082"/>
    <w:rsid w:val="00FA03E8"/>
    <w:rsid w:val="00FA27B3"/>
    <w:rsid w:val="00FA36AB"/>
    <w:rsid w:val="00FB5CE8"/>
    <w:rsid w:val="00FC4063"/>
    <w:rsid w:val="00FC4DEB"/>
    <w:rsid w:val="00FC6BEB"/>
    <w:rsid w:val="00FE6205"/>
    <w:rsid w:val="00FF523A"/>
    <w:rsid w:val="00FF5F12"/>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5A322E"/>
  <w15:docId w15:val="{73B0123E-98CC-4F80-9B92-5F6BE52A4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65294">
      <w:bodyDiv w:val="1"/>
      <w:marLeft w:val="0"/>
      <w:marRight w:val="0"/>
      <w:marTop w:val="0"/>
      <w:marBottom w:val="0"/>
      <w:divBdr>
        <w:top w:val="none" w:sz="0" w:space="0" w:color="auto"/>
        <w:left w:val="none" w:sz="0" w:space="0" w:color="auto"/>
        <w:bottom w:val="none" w:sz="0" w:space="0" w:color="auto"/>
        <w:right w:val="none" w:sz="0" w:space="0" w:color="auto"/>
      </w:divBdr>
    </w:div>
    <w:div w:id="56599203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135563843">
      <w:bodyDiv w:val="1"/>
      <w:marLeft w:val="0"/>
      <w:marRight w:val="0"/>
      <w:marTop w:val="0"/>
      <w:marBottom w:val="0"/>
      <w:divBdr>
        <w:top w:val="none" w:sz="0" w:space="0" w:color="auto"/>
        <w:left w:val="none" w:sz="0" w:space="0" w:color="auto"/>
        <w:bottom w:val="none" w:sz="0" w:space="0" w:color="auto"/>
        <w:right w:val="none" w:sz="0" w:space="0" w:color="auto"/>
      </w:divBdr>
    </w:div>
    <w:div w:id="1330521029">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908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D576D-C266-455A-873E-03FB8873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1067</Words>
  <Characters>5570</Characters>
  <Application>Microsoft Office Word</Application>
  <DocSecurity>4</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CWSS</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Folkert de Jong</dc:creator>
  <cp:lastModifiedBy>SKlöpper</cp:lastModifiedBy>
  <cp:revision>2</cp:revision>
  <cp:lastPrinted>2013-09-25T14:30:00Z</cp:lastPrinted>
  <dcterms:created xsi:type="dcterms:W3CDTF">2018-11-06T16:24:00Z</dcterms:created>
  <dcterms:modified xsi:type="dcterms:W3CDTF">2018-11-06T16:24:00Z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