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8D8" w:rsidRPr="006607D8" w:rsidRDefault="003268D8" w:rsidP="003268D8">
      <w:pPr>
        <w:spacing w:line="360" w:lineRule="auto"/>
        <w:jc w:val="center"/>
        <w:rPr>
          <w:sz w:val="20"/>
          <w:szCs w:val="20"/>
          <w:lang w:val="en-GB"/>
        </w:rPr>
      </w:pPr>
      <w:r w:rsidRPr="00884A64">
        <w:rPr>
          <w:noProof/>
          <w:sz w:val="20"/>
          <w:szCs w:val="20"/>
          <w:lang w:val="de-DE" w:eastAsia="de-DE"/>
        </w:rPr>
        <w:drawing>
          <wp:anchor distT="0" distB="0" distL="114300" distR="114300" simplePos="0" relativeHeight="251660288" behindDoc="1" locked="0" layoutInCell="1" allowOverlap="1" wp14:anchorId="5905ED5B" wp14:editId="536FA854">
            <wp:simplePos x="0" y="0"/>
            <wp:positionH relativeFrom="column">
              <wp:posOffset>5156835</wp:posOffset>
            </wp:positionH>
            <wp:positionV relativeFrom="paragraph">
              <wp:posOffset>-61433</wp:posOffset>
            </wp:positionV>
            <wp:extent cx="892175" cy="1054735"/>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Pr>
          <w:rFonts w:ascii="Arial" w:eastAsia="Calibri" w:hAnsi="Arial" w:cs="Arial"/>
          <w:color w:val="0078B6"/>
          <w:sz w:val="28"/>
          <w:szCs w:val="36"/>
          <w:lang w:val="en-GB"/>
        </w:rPr>
        <w:t>MEETING DOCUMENT</w:t>
      </w:r>
    </w:p>
    <w:p w:rsidR="003268D8" w:rsidRPr="006607D8" w:rsidRDefault="003268D8" w:rsidP="003268D8">
      <w:pPr>
        <w:spacing w:after="200" w:line="276" w:lineRule="auto"/>
        <w:jc w:val="center"/>
        <w:rPr>
          <w:rFonts w:ascii="Arial" w:eastAsiaTheme="minorHAnsi" w:hAnsi="Arial" w:cs="Arial"/>
          <w:b/>
          <w:szCs w:val="36"/>
          <w:lang w:val="en-GB"/>
        </w:rPr>
      </w:pPr>
      <w:r w:rsidRPr="006607D8">
        <w:rPr>
          <w:rFonts w:ascii="Arial" w:eastAsiaTheme="minorHAnsi" w:hAnsi="Arial" w:cs="Arial"/>
          <w:b/>
          <w:szCs w:val="36"/>
          <w:lang w:val="en-GB"/>
        </w:rPr>
        <w:t>Wadden Sea Board</w:t>
      </w:r>
      <w:r>
        <w:rPr>
          <w:rFonts w:ascii="Arial" w:eastAsiaTheme="minorHAnsi" w:hAnsi="Arial" w:cs="Arial"/>
          <w:b/>
          <w:szCs w:val="36"/>
          <w:lang w:val="en-GB"/>
        </w:rPr>
        <w:t xml:space="preserve"> (</w:t>
      </w:r>
      <w:r w:rsidR="00B478AA">
        <w:rPr>
          <w:rFonts w:ascii="Arial" w:eastAsiaTheme="minorHAnsi" w:hAnsi="Arial" w:cs="Arial"/>
          <w:b/>
          <w:szCs w:val="36"/>
          <w:lang w:val="en-GB"/>
        </w:rPr>
        <w:t>WSB 29</w:t>
      </w:r>
      <w:r>
        <w:rPr>
          <w:rFonts w:ascii="Arial" w:eastAsiaTheme="minorHAnsi" w:hAnsi="Arial" w:cs="Arial"/>
          <w:b/>
          <w:szCs w:val="36"/>
          <w:lang w:val="en-GB"/>
        </w:rPr>
        <w:t>)</w:t>
      </w:r>
      <w:r w:rsidRPr="006607D8">
        <w:rPr>
          <w:rFonts w:ascii="Arial" w:eastAsiaTheme="minorHAnsi" w:hAnsi="Arial" w:cs="Arial"/>
          <w:b/>
          <w:szCs w:val="36"/>
          <w:lang w:val="en-GB"/>
        </w:rPr>
        <w:t xml:space="preserve"> </w:t>
      </w:r>
    </w:p>
    <w:p w:rsidR="00B478AA" w:rsidRPr="00884A64" w:rsidRDefault="00B478AA" w:rsidP="00B478AA">
      <w:pPr>
        <w:jc w:val="center"/>
        <w:rPr>
          <w:bCs/>
          <w:sz w:val="22"/>
          <w:lang w:val="en-GB"/>
        </w:rPr>
      </w:pPr>
      <w:r>
        <w:rPr>
          <w:bCs/>
          <w:sz w:val="22"/>
          <w:lang w:val="en-GB"/>
        </w:rPr>
        <w:t>19</w:t>
      </w:r>
      <w:r w:rsidRPr="00884A64">
        <w:rPr>
          <w:bCs/>
          <w:sz w:val="22"/>
          <w:lang w:val="en-GB"/>
        </w:rPr>
        <w:t xml:space="preserve"> </w:t>
      </w:r>
      <w:r>
        <w:rPr>
          <w:bCs/>
          <w:sz w:val="22"/>
          <w:lang w:val="en-GB"/>
        </w:rPr>
        <w:t>June 2019</w:t>
      </w:r>
    </w:p>
    <w:p w:rsidR="00B478AA" w:rsidRPr="00884A64" w:rsidRDefault="00B478AA" w:rsidP="00B478AA">
      <w:pPr>
        <w:jc w:val="center"/>
        <w:rPr>
          <w:bCs/>
          <w:sz w:val="22"/>
          <w:lang w:val="en-GB"/>
        </w:rPr>
      </w:pPr>
      <w:r>
        <w:rPr>
          <w:bCs/>
          <w:sz w:val="22"/>
          <w:lang w:val="en-GB"/>
        </w:rPr>
        <w:t>Vlieland</w:t>
      </w:r>
      <w:r w:rsidRPr="00884A64">
        <w:rPr>
          <w:bCs/>
          <w:sz w:val="22"/>
          <w:lang w:val="en-GB"/>
        </w:rPr>
        <w:t xml:space="preserve">, </w:t>
      </w:r>
      <w:r>
        <w:rPr>
          <w:bCs/>
          <w:sz w:val="22"/>
          <w:lang w:val="en-GB"/>
        </w:rPr>
        <w:t>Netherlands</w:t>
      </w:r>
    </w:p>
    <w:p w:rsidR="003D6D11" w:rsidRDefault="003D6D11" w:rsidP="00884A64">
      <w:pPr>
        <w:pBdr>
          <w:bottom w:val="single" w:sz="6" w:space="1" w:color="auto"/>
        </w:pBdr>
        <w:spacing w:after="120" w:line="276" w:lineRule="auto"/>
        <w:rPr>
          <w:sz w:val="20"/>
          <w:szCs w:val="20"/>
          <w:lang w:val="en-GB"/>
        </w:rPr>
      </w:pPr>
    </w:p>
    <w:p w:rsidR="00884A64" w:rsidRDefault="00884A64" w:rsidP="00884A64">
      <w:pPr>
        <w:pBdr>
          <w:bottom w:val="single" w:sz="6" w:space="1" w:color="auto"/>
        </w:pBdr>
        <w:spacing w:after="120" w:line="276" w:lineRule="auto"/>
        <w:rPr>
          <w:sz w:val="20"/>
          <w:szCs w:val="20"/>
          <w:lang w:val="en-GB"/>
        </w:rPr>
      </w:pPr>
    </w:p>
    <w:p w:rsidR="003268D8" w:rsidRPr="00884A64" w:rsidRDefault="003268D8" w:rsidP="00884A64">
      <w:pPr>
        <w:pBdr>
          <w:bottom w:val="single" w:sz="6" w:space="1" w:color="auto"/>
        </w:pBdr>
        <w:spacing w:after="120" w:line="276" w:lineRule="auto"/>
        <w:rPr>
          <w:sz w:val="20"/>
          <w:szCs w:val="20"/>
          <w:lang w:val="en-GB"/>
        </w:rPr>
      </w:pPr>
    </w:p>
    <w:p w:rsidR="007D5514" w:rsidRPr="00884A64" w:rsidRDefault="003D6D11" w:rsidP="006607D8">
      <w:pPr>
        <w:tabs>
          <w:tab w:val="left" w:pos="2160"/>
        </w:tabs>
        <w:spacing w:after="200" w:line="276" w:lineRule="auto"/>
        <w:rPr>
          <w:b/>
          <w:sz w:val="22"/>
          <w:szCs w:val="22"/>
          <w:lang w:val="en-GB"/>
        </w:rPr>
      </w:pPr>
      <w:r w:rsidRPr="00884A64">
        <w:rPr>
          <w:b/>
          <w:sz w:val="22"/>
          <w:szCs w:val="22"/>
          <w:lang w:val="en-GB"/>
        </w:rPr>
        <w:t>Agenda Item:</w:t>
      </w:r>
      <w:r w:rsidRPr="00884A64">
        <w:rPr>
          <w:b/>
          <w:sz w:val="22"/>
          <w:szCs w:val="22"/>
          <w:lang w:val="en-GB"/>
        </w:rPr>
        <w:tab/>
      </w:r>
      <w:r w:rsidR="00B478AA">
        <w:rPr>
          <w:b/>
          <w:sz w:val="22"/>
          <w:szCs w:val="22"/>
          <w:lang w:val="en-GB"/>
        </w:rPr>
        <w:t>5.</w:t>
      </w:r>
      <w:r w:rsidR="000D5255">
        <w:rPr>
          <w:b/>
          <w:sz w:val="22"/>
          <w:szCs w:val="22"/>
          <w:lang w:val="en-GB"/>
        </w:rPr>
        <w:t>10</w:t>
      </w:r>
      <w:r w:rsidR="00B478AA">
        <w:rPr>
          <w:b/>
          <w:sz w:val="22"/>
          <w:szCs w:val="22"/>
          <w:lang w:val="en-GB"/>
        </w:rPr>
        <w:t xml:space="preserve"> </w:t>
      </w:r>
      <w:r w:rsidR="000D5255" w:rsidRPr="000D5255">
        <w:rPr>
          <w:b/>
          <w:sz w:val="22"/>
          <w:szCs w:val="22"/>
          <w:lang w:val="en-GB"/>
        </w:rPr>
        <w:t>Communication and education</w:t>
      </w:r>
    </w:p>
    <w:p w:rsidR="007D5514" w:rsidRPr="00884A64" w:rsidRDefault="003D6D11" w:rsidP="006607D8">
      <w:pPr>
        <w:tabs>
          <w:tab w:val="left" w:pos="2160"/>
        </w:tabs>
        <w:spacing w:after="200" w:line="276" w:lineRule="auto"/>
        <w:rPr>
          <w:sz w:val="22"/>
          <w:szCs w:val="22"/>
          <w:lang w:val="en-GB"/>
        </w:rPr>
      </w:pPr>
      <w:r w:rsidRPr="00884A64">
        <w:rPr>
          <w:b/>
          <w:sz w:val="22"/>
          <w:szCs w:val="22"/>
          <w:lang w:val="en-GB"/>
        </w:rPr>
        <w:t>Subject:</w:t>
      </w:r>
      <w:r w:rsidRPr="00884A64">
        <w:rPr>
          <w:b/>
          <w:sz w:val="22"/>
          <w:szCs w:val="22"/>
          <w:lang w:val="en-GB"/>
        </w:rPr>
        <w:tab/>
      </w:r>
      <w:r w:rsidR="000D5255" w:rsidRPr="000D5255">
        <w:rPr>
          <w:b/>
          <w:sz w:val="22"/>
          <w:szCs w:val="22"/>
          <w:lang w:val="en-GB"/>
        </w:rPr>
        <w:t>Trilateral Education Work Programme</w:t>
      </w:r>
    </w:p>
    <w:p w:rsidR="007D5514" w:rsidRPr="00884A64" w:rsidRDefault="003D6D11" w:rsidP="006607D8">
      <w:pPr>
        <w:tabs>
          <w:tab w:val="left" w:pos="2160"/>
        </w:tabs>
        <w:spacing w:after="20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B478AA" w:rsidRPr="00884A64">
        <w:rPr>
          <w:sz w:val="22"/>
          <w:szCs w:val="22"/>
          <w:lang w:val="en-GB"/>
        </w:rPr>
        <w:t>WSB 2</w:t>
      </w:r>
      <w:r w:rsidR="00B478AA">
        <w:rPr>
          <w:sz w:val="22"/>
          <w:szCs w:val="22"/>
          <w:lang w:val="en-GB"/>
        </w:rPr>
        <w:t>9</w:t>
      </w:r>
      <w:r w:rsidR="00B478AA" w:rsidRPr="00884A64">
        <w:rPr>
          <w:sz w:val="22"/>
          <w:szCs w:val="22"/>
          <w:lang w:val="en-GB"/>
        </w:rPr>
        <w:t>/</w:t>
      </w:r>
      <w:r w:rsidR="00B478AA">
        <w:rPr>
          <w:sz w:val="22"/>
          <w:szCs w:val="22"/>
          <w:lang w:val="en-GB"/>
        </w:rPr>
        <w:t>5.</w:t>
      </w:r>
      <w:r w:rsidR="000D5255">
        <w:rPr>
          <w:sz w:val="22"/>
          <w:szCs w:val="22"/>
          <w:lang w:val="en-GB"/>
        </w:rPr>
        <w:t>10</w:t>
      </w:r>
      <w:r w:rsidR="00B478AA">
        <w:rPr>
          <w:sz w:val="22"/>
          <w:szCs w:val="22"/>
          <w:lang w:val="en-GB"/>
        </w:rPr>
        <w:t>/</w:t>
      </w:r>
      <w:r w:rsidR="000D5255">
        <w:rPr>
          <w:sz w:val="22"/>
          <w:szCs w:val="22"/>
          <w:lang w:val="en-GB"/>
        </w:rPr>
        <w:t>2</w:t>
      </w:r>
    </w:p>
    <w:p w:rsidR="003D6D11" w:rsidRPr="00884A64" w:rsidRDefault="003D6D11" w:rsidP="006607D8">
      <w:pPr>
        <w:tabs>
          <w:tab w:val="left" w:pos="2160"/>
        </w:tabs>
        <w:spacing w:after="200" w:line="276" w:lineRule="auto"/>
        <w:rPr>
          <w:b/>
          <w:sz w:val="22"/>
          <w:szCs w:val="22"/>
          <w:lang w:val="en-GB"/>
        </w:rPr>
      </w:pPr>
      <w:r w:rsidRPr="00884A64">
        <w:rPr>
          <w:b/>
          <w:sz w:val="22"/>
          <w:szCs w:val="22"/>
          <w:lang w:val="en-GB"/>
        </w:rPr>
        <w:t>Date:</w:t>
      </w:r>
      <w:r w:rsidRPr="00884A64">
        <w:rPr>
          <w:b/>
          <w:sz w:val="22"/>
          <w:szCs w:val="22"/>
          <w:lang w:val="en-GB"/>
        </w:rPr>
        <w:tab/>
      </w:r>
      <w:r w:rsidR="000D5255">
        <w:rPr>
          <w:sz w:val="22"/>
          <w:szCs w:val="22"/>
          <w:lang w:val="en-GB"/>
        </w:rPr>
        <w:t>12 June 19</w:t>
      </w:r>
    </w:p>
    <w:p w:rsidR="00884A64" w:rsidRDefault="003D6D11" w:rsidP="006607D8">
      <w:pPr>
        <w:pBdr>
          <w:bottom w:val="single" w:sz="6" w:space="1" w:color="auto"/>
        </w:pBdr>
        <w:tabs>
          <w:tab w:val="left" w:pos="0"/>
        </w:tabs>
        <w:spacing w:after="200" w:line="276" w:lineRule="auto"/>
        <w:rPr>
          <w:b/>
          <w:sz w:val="22"/>
          <w:szCs w:val="22"/>
          <w:lang w:val="en-GB"/>
        </w:rPr>
      </w:pPr>
      <w:r w:rsidRPr="00884A64">
        <w:rPr>
          <w:b/>
          <w:sz w:val="22"/>
          <w:szCs w:val="22"/>
          <w:lang w:val="en-GB"/>
        </w:rPr>
        <w:t xml:space="preserve">Submitted </w:t>
      </w:r>
      <w:proofErr w:type="gramStart"/>
      <w:r w:rsidRPr="00884A64">
        <w:rPr>
          <w:b/>
          <w:sz w:val="22"/>
          <w:szCs w:val="22"/>
          <w:lang w:val="en-GB"/>
        </w:rPr>
        <w:t>by:</w:t>
      </w:r>
      <w:proofErr w:type="gramEnd"/>
      <w:r w:rsidR="00B478AA">
        <w:rPr>
          <w:b/>
          <w:sz w:val="22"/>
          <w:szCs w:val="22"/>
          <w:lang w:val="en-GB"/>
        </w:rPr>
        <w:tab/>
      </w:r>
      <w:r w:rsidR="00B478AA">
        <w:rPr>
          <w:b/>
          <w:sz w:val="22"/>
          <w:szCs w:val="22"/>
          <w:lang w:val="en-GB"/>
        </w:rPr>
        <w:tab/>
        <w:t>CWSS</w:t>
      </w:r>
    </w:p>
    <w:p w:rsidR="00884A64" w:rsidRDefault="00884A64" w:rsidP="00884A64">
      <w:pPr>
        <w:pStyle w:val="Kopfzeile"/>
        <w:tabs>
          <w:tab w:val="clear" w:pos="4703"/>
          <w:tab w:val="clear" w:pos="9406"/>
        </w:tabs>
        <w:spacing w:after="120" w:line="276" w:lineRule="auto"/>
        <w:rPr>
          <w:sz w:val="22"/>
          <w:szCs w:val="22"/>
          <w:lang w:val="en-GB" w:eastAsia="de-DE"/>
        </w:rPr>
      </w:pPr>
    </w:p>
    <w:p w:rsidR="009F5511" w:rsidRPr="009F5511" w:rsidRDefault="00B478AA" w:rsidP="009F5511">
      <w:pPr>
        <w:rPr>
          <w:sz w:val="22"/>
          <w:szCs w:val="22"/>
          <w:lang w:val="en-GB" w:eastAsia="de-DE"/>
        </w:rPr>
      </w:pPr>
      <w:r w:rsidRPr="00B478AA">
        <w:rPr>
          <w:sz w:val="22"/>
          <w:szCs w:val="22"/>
          <w:lang w:val="en-GB" w:eastAsia="de-DE"/>
        </w:rPr>
        <w:t xml:space="preserve">The attached </w:t>
      </w:r>
      <w:r w:rsidR="009F5511" w:rsidRPr="009F5511">
        <w:rPr>
          <w:sz w:val="22"/>
          <w:szCs w:val="22"/>
          <w:lang w:val="en-GB" w:eastAsia="de-DE"/>
        </w:rPr>
        <w:t>is the Trilateral Education Work Program 2019-2022 prepared the Network Group Education which is referred to in the document WSB 29/5.10/1 “Proposal for IWSS continuation”.</w:t>
      </w:r>
    </w:p>
    <w:p w:rsidR="00B478AA" w:rsidRPr="00884A64" w:rsidRDefault="00B478AA" w:rsidP="00884A64">
      <w:pPr>
        <w:pStyle w:val="Kopfzeile"/>
        <w:tabs>
          <w:tab w:val="clear" w:pos="4703"/>
          <w:tab w:val="clear" w:pos="9406"/>
        </w:tabs>
        <w:spacing w:after="120" w:line="276" w:lineRule="auto"/>
        <w:rPr>
          <w:sz w:val="22"/>
          <w:szCs w:val="22"/>
          <w:lang w:val="en-GB" w:eastAsia="de-DE"/>
        </w:rPr>
      </w:pPr>
    </w:p>
    <w:p w:rsidR="00B61315" w:rsidRPr="006607D8" w:rsidRDefault="003D6D11" w:rsidP="000D5255">
      <w:pPr>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B478AA" w:rsidRPr="00B478AA">
        <w:rPr>
          <w:sz w:val="22"/>
          <w:szCs w:val="22"/>
          <w:lang w:val="en-GB"/>
        </w:rPr>
        <w:t xml:space="preserve">The meeting is invited </w:t>
      </w:r>
      <w:r w:rsidR="009F5511" w:rsidRPr="009F5511">
        <w:rPr>
          <w:sz w:val="22"/>
          <w:szCs w:val="22"/>
          <w:lang w:val="en-GB"/>
        </w:rPr>
        <w:t>to discuss the document in conjunction with WSB 29/5.10/1</w:t>
      </w:r>
    </w:p>
    <w:p w:rsidR="000D5255" w:rsidRDefault="000D5255" w:rsidP="00884A64">
      <w:pPr>
        <w:spacing w:after="120" w:line="276" w:lineRule="auto"/>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Pr="000D5255" w:rsidRDefault="000D5255" w:rsidP="000D5255">
      <w:pPr>
        <w:rPr>
          <w:rFonts w:ascii="Arial" w:hAnsi="Arial" w:cs="Arial"/>
        </w:rPr>
      </w:pPr>
    </w:p>
    <w:p w:rsidR="000D5255" w:rsidRDefault="000D5255" w:rsidP="00884A64">
      <w:pPr>
        <w:spacing w:after="120" w:line="276" w:lineRule="auto"/>
        <w:rPr>
          <w:rFonts w:ascii="Arial" w:hAnsi="Arial" w:cs="Arial"/>
        </w:rPr>
        <w:sectPr w:rsidR="000D5255" w:rsidSect="00921570">
          <w:headerReference w:type="default" r:id="rId9"/>
          <w:footerReference w:type="default" r:id="rId10"/>
          <w:footerReference w:type="first" r:id="rId11"/>
          <w:pgSz w:w="11907" w:h="16840" w:code="9"/>
          <w:pgMar w:top="1440" w:right="1134" w:bottom="1440" w:left="1134" w:header="709" w:footer="709" w:gutter="0"/>
          <w:cols w:space="708"/>
          <w:titlePg/>
          <w:docGrid w:linePitch="360"/>
        </w:sectPr>
      </w:pPr>
    </w:p>
    <w:p w:rsidR="000D5255" w:rsidRDefault="000D5255" w:rsidP="000D5255">
      <w:pPr>
        <w:outlineLvl w:val="0"/>
        <w:rPr>
          <w:b/>
          <w:sz w:val="32"/>
          <w:szCs w:val="32"/>
          <w:lang w:val="en-GB" w:eastAsia="de-DE"/>
        </w:rPr>
      </w:pPr>
      <w:r>
        <w:rPr>
          <w:b/>
          <w:sz w:val="32"/>
          <w:szCs w:val="32"/>
          <w:lang w:val="en-GB"/>
        </w:rPr>
        <w:lastRenderedPageBreak/>
        <w:t>Trilateral Education Work Program 2019-</w:t>
      </w:r>
      <w:r>
        <w:rPr>
          <w:b/>
          <w:color w:val="000000" w:themeColor="text1"/>
          <w:sz w:val="32"/>
          <w:szCs w:val="32"/>
          <w:lang w:val="en-GB"/>
        </w:rPr>
        <w:t>2022</w:t>
      </w:r>
      <w:r>
        <w:rPr>
          <w:color w:val="000000" w:themeColor="text1"/>
          <w:sz w:val="32"/>
          <w:szCs w:val="32"/>
          <w:lang w:val="en-GB"/>
        </w:rPr>
        <w:t xml:space="preserve"> (draft update May 2019)</w:t>
      </w:r>
    </w:p>
    <w:p w:rsidR="000D5255" w:rsidRDefault="000D5255" w:rsidP="000D5255">
      <w:pPr>
        <w:rPr>
          <w:lang w:val="en-GB"/>
        </w:rPr>
      </w:pPr>
    </w:p>
    <w:p w:rsidR="000D5255" w:rsidRDefault="000D5255" w:rsidP="000D5255">
      <w:pPr>
        <w:outlineLvl w:val="0"/>
        <w:rPr>
          <w:lang w:val="en-GB"/>
        </w:rPr>
      </w:pPr>
      <w:r>
        <w:rPr>
          <w:lang w:val="en-GB"/>
        </w:rPr>
        <w:t>This working document concretises the activities of the Trilateral Education Work Program.</w:t>
      </w:r>
    </w:p>
    <w:p w:rsidR="000D5255" w:rsidRDefault="000D5255" w:rsidP="000D5255">
      <w:pPr>
        <w:rPr>
          <w:i/>
          <w:lang w:val="en-GB"/>
        </w:rPr>
      </w:pPr>
    </w:p>
    <w:p w:rsidR="000D5255" w:rsidRDefault="000D5255" w:rsidP="000D5255">
      <w:pPr>
        <w:widowControl w:val="0"/>
        <w:autoSpaceDE w:val="0"/>
        <w:autoSpaceDN w:val="0"/>
        <w:adjustRightInd w:val="0"/>
        <w:rPr>
          <w:rFonts w:ascii="HouschkaAltPro-Medium" w:hAnsi="HouschkaAltPro-Medium" w:cs="HouschkaAltPro-Medium"/>
          <w:sz w:val="20"/>
          <w:szCs w:val="20"/>
          <w:lang w:val="en-GB"/>
        </w:rPr>
      </w:pPr>
      <w:r>
        <w:rPr>
          <w:rFonts w:ascii="HouschkaAltPro-Medium" w:hAnsi="HouschkaAltPro-Medium" w:cs="HouschkaAltPro-Medium"/>
          <w:i/>
          <w:sz w:val="20"/>
          <w:szCs w:val="20"/>
          <w:lang w:val="en-GB"/>
        </w:rPr>
        <w:t xml:space="preserve">[“Measures and activities at the trilateral level are further specified in a joint Trilateral Education Work Programme for the </w:t>
      </w:r>
      <w:proofErr w:type="spellStart"/>
      <w:r>
        <w:rPr>
          <w:rFonts w:ascii="HouschkaAltPro-Medium" w:hAnsi="HouschkaAltPro-Medium" w:cs="HouschkaAltPro-Medium"/>
          <w:i/>
          <w:sz w:val="20"/>
          <w:szCs w:val="20"/>
          <w:lang w:val="en-GB"/>
        </w:rPr>
        <w:t>Wadden</w:t>
      </w:r>
      <w:proofErr w:type="spellEnd"/>
      <w:r>
        <w:rPr>
          <w:rFonts w:ascii="HouschkaAltPro-Medium" w:hAnsi="HouschkaAltPro-Medium" w:cs="HouschkaAltPro-Medium"/>
          <w:i/>
          <w:sz w:val="20"/>
          <w:szCs w:val="20"/>
          <w:lang w:val="en-GB"/>
        </w:rPr>
        <w:t xml:space="preserve"> Sea World Heritage (WSWH), facilitated by the IWSS (“International </w:t>
      </w:r>
      <w:proofErr w:type="spellStart"/>
      <w:r>
        <w:rPr>
          <w:rFonts w:ascii="HouschkaAltPro-Medium" w:hAnsi="HouschkaAltPro-Medium" w:cs="HouschkaAltPro-Medium"/>
          <w:i/>
          <w:sz w:val="20"/>
          <w:szCs w:val="20"/>
          <w:lang w:val="en-GB"/>
        </w:rPr>
        <w:t>Wadden</w:t>
      </w:r>
      <w:proofErr w:type="spellEnd"/>
      <w:r>
        <w:rPr>
          <w:rFonts w:ascii="HouschkaAltPro-Medium" w:hAnsi="HouschkaAltPro-Medium" w:cs="HouschkaAltPro-Medium"/>
          <w:i/>
          <w:sz w:val="20"/>
          <w:szCs w:val="20"/>
          <w:lang w:val="en-GB"/>
        </w:rPr>
        <w:t xml:space="preserve"> Sea School”) and financed by the Trilateral </w:t>
      </w:r>
      <w:proofErr w:type="spellStart"/>
      <w:r>
        <w:rPr>
          <w:rFonts w:ascii="HouschkaAltPro-Medium" w:hAnsi="HouschkaAltPro-Medium" w:cs="HouschkaAltPro-Medium"/>
          <w:i/>
          <w:sz w:val="20"/>
          <w:szCs w:val="20"/>
          <w:lang w:val="en-GB"/>
        </w:rPr>
        <w:t>Wadden</w:t>
      </w:r>
      <w:proofErr w:type="spellEnd"/>
      <w:r>
        <w:rPr>
          <w:rFonts w:ascii="HouschkaAltPro-Medium" w:hAnsi="HouschkaAltPro-Medium" w:cs="HouschkaAltPro-Medium"/>
          <w:i/>
          <w:sz w:val="20"/>
          <w:szCs w:val="20"/>
          <w:lang w:val="en-GB"/>
        </w:rPr>
        <w:t xml:space="preserve"> Sea Cooperation. They are inspired by, complement and – as far as possible – support the activities at the national level.”</w:t>
      </w:r>
      <w:r>
        <w:rPr>
          <w:rFonts w:ascii="HouschkaAltPro-Medium" w:hAnsi="HouschkaAltPro-Medium" w:cs="HouschkaAltPro-Medium"/>
          <w:sz w:val="20"/>
          <w:szCs w:val="20"/>
          <w:lang w:val="en-GB"/>
        </w:rPr>
        <w:t xml:space="preserve"> (see strategy, p. 10; the objectives 1 and 2 and the measures 1.1, 1.2 and 2.1 taken from strategy p. 10-11)]</w:t>
      </w:r>
    </w:p>
    <w:p w:rsidR="000D5255" w:rsidRDefault="000D5255" w:rsidP="000D5255">
      <w:pPr>
        <w:rPr>
          <w:rFonts w:asciiTheme="minorHAnsi" w:hAnsiTheme="minorHAnsi" w:cstheme="minorBidi"/>
        </w:rPr>
      </w:pPr>
    </w:p>
    <w:tbl>
      <w:tblPr>
        <w:tblStyle w:val="Tabellenraster"/>
        <w:tblW w:w="14399" w:type="dxa"/>
        <w:tblLayout w:type="fixed"/>
        <w:tblLook w:val="06A0" w:firstRow="1" w:lastRow="0" w:firstColumn="1" w:lastColumn="0" w:noHBand="1" w:noVBand="1"/>
      </w:tblPr>
      <w:tblGrid>
        <w:gridCol w:w="704"/>
        <w:gridCol w:w="8868"/>
        <w:gridCol w:w="887"/>
        <w:gridCol w:w="936"/>
        <w:gridCol w:w="3004"/>
      </w:tblGrid>
      <w:tr w:rsidR="000D5255" w:rsidTr="00F40233">
        <w:trPr>
          <w:trHeight w:val="268"/>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b/>
                <w:sz w:val="22"/>
                <w:szCs w:val="22"/>
                <w:lang w:val="en-GB"/>
              </w:rPr>
            </w:pPr>
            <w:r>
              <w:rPr>
                <w:b/>
                <w:sz w:val="22"/>
                <w:szCs w:val="22"/>
                <w:lang w:val="en-GB"/>
              </w:rPr>
              <w:t>No</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b/>
                <w:sz w:val="22"/>
                <w:szCs w:val="22"/>
                <w:lang w:val="en-GB"/>
              </w:rPr>
            </w:pPr>
            <w:r>
              <w:rPr>
                <w:b/>
                <w:sz w:val="22"/>
                <w:szCs w:val="22"/>
                <w:lang w:val="en-GB"/>
              </w:rPr>
              <w:t>Objectives, Measures &amp; Activities</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b/>
                <w:sz w:val="22"/>
                <w:szCs w:val="22"/>
                <w:lang w:val="en-GB"/>
              </w:rPr>
            </w:pPr>
            <w:r>
              <w:rPr>
                <w:b/>
                <w:sz w:val="22"/>
                <w:szCs w:val="22"/>
                <w:lang w:val="en-GB"/>
              </w:rPr>
              <w:t>Time frame</w:t>
            </w:r>
          </w:p>
        </w:tc>
        <w:tc>
          <w:tcPr>
            <w:tcW w:w="3004" w:type="dxa"/>
            <w:tcBorders>
              <w:top w:val="single" w:sz="4" w:space="0" w:color="auto"/>
              <w:left w:val="single" w:sz="4" w:space="0" w:color="auto"/>
              <w:bottom w:val="single" w:sz="4" w:space="0" w:color="auto"/>
              <w:right w:val="single" w:sz="4" w:space="0" w:color="auto"/>
            </w:tcBorders>
            <w:hideMark/>
          </w:tcPr>
          <w:p w:rsidR="000D5255" w:rsidRDefault="000D5255">
            <w:pPr>
              <w:rPr>
                <w:b/>
                <w:sz w:val="22"/>
                <w:szCs w:val="22"/>
                <w:lang w:val="en-GB"/>
              </w:rPr>
            </w:pPr>
            <w:r>
              <w:rPr>
                <w:b/>
                <w:sz w:val="22"/>
                <w:szCs w:val="22"/>
                <w:lang w:val="en-GB"/>
              </w:rPr>
              <w:t xml:space="preserve">Comments </w:t>
            </w: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shd w:val="clear" w:color="auto" w:fill="99CC00"/>
            <w:hideMark/>
          </w:tcPr>
          <w:p w:rsidR="000D5255" w:rsidRDefault="000D5255">
            <w:pPr>
              <w:rPr>
                <w:sz w:val="22"/>
                <w:szCs w:val="22"/>
                <w:lang w:val="en-GB"/>
              </w:rPr>
            </w:pPr>
            <w:r>
              <w:rPr>
                <w:sz w:val="22"/>
                <w:szCs w:val="22"/>
                <w:lang w:val="en-GB"/>
              </w:rPr>
              <w:t>1</w:t>
            </w:r>
          </w:p>
        </w:tc>
        <w:tc>
          <w:tcPr>
            <w:tcW w:w="13695" w:type="dxa"/>
            <w:gridSpan w:val="4"/>
            <w:tcBorders>
              <w:top w:val="single" w:sz="4" w:space="0" w:color="auto"/>
              <w:left w:val="single" w:sz="4" w:space="0" w:color="auto"/>
              <w:bottom w:val="single" w:sz="4" w:space="0" w:color="auto"/>
              <w:right w:val="single" w:sz="4" w:space="0" w:color="auto"/>
            </w:tcBorders>
            <w:shd w:val="clear" w:color="auto" w:fill="99CC00"/>
            <w:hideMark/>
          </w:tcPr>
          <w:p w:rsidR="000D5255" w:rsidRDefault="000D5255">
            <w:pPr>
              <w:widowControl w:val="0"/>
              <w:autoSpaceDE w:val="0"/>
              <w:autoSpaceDN w:val="0"/>
              <w:adjustRightInd w:val="0"/>
              <w:rPr>
                <w:rFonts w:cs="HouschkaAltPro-Medium"/>
                <w:color w:val="002B41"/>
                <w:sz w:val="22"/>
                <w:szCs w:val="22"/>
                <w:lang w:val="en-GB"/>
              </w:rPr>
            </w:pPr>
            <w:r>
              <w:rPr>
                <w:b/>
                <w:color w:val="212121"/>
                <w:sz w:val="22"/>
                <w:szCs w:val="22"/>
                <w:lang w:val="en-GB"/>
              </w:rPr>
              <w:t>Objective:</w:t>
            </w:r>
            <w:r>
              <w:rPr>
                <w:color w:val="212121"/>
                <w:sz w:val="22"/>
                <w:szCs w:val="22"/>
                <w:lang w:val="en-GB"/>
              </w:rPr>
              <w:t xml:space="preserve"> </w:t>
            </w:r>
            <w:r>
              <w:rPr>
                <w:color w:val="212121"/>
                <w:sz w:val="22"/>
                <w:szCs w:val="22"/>
                <w:u w:val="single"/>
                <w:lang w:val="en-GB"/>
              </w:rPr>
              <w:t>Competent multipliers</w:t>
            </w:r>
            <w:r>
              <w:rPr>
                <w:color w:val="212121"/>
                <w:sz w:val="22"/>
                <w:szCs w:val="22"/>
                <w:lang w:val="en-GB"/>
              </w:rPr>
              <w:t xml:space="preserve">: </w:t>
            </w:r>
            <w:r>
              <w:rPr>
                <w:rFonts w:cs="HouschkaAltPro-Medium"/>
                <w:color w:val="002B41"/>
                <w:sz w:val="22"/>
                <w:szCs w:val="22"/>
                <w:lang w:val="en-GB"/>
              </w:rPr>
              <w:t xml:space="preserve">All stakeholders of </w:t>
            </w:r>
            <w:proofErr w:type="spellStart"/>
            <w:r>
              <w:rPr>
                <w:rFonts w:cs="HouschkaAltPro-Medium"/>
                <w:color w:val="002B41"/>
                <w:sz w:val="22"/>
                <w:szCs w:val="22"/>
                <w:lang w:val="en-GB"/>
              </w:rPr>
              <w:t>Wadden</w:t>
            </w:r>
            <w:proofErr w:type="spellEnd"/>
            <w:r>
              <w:rPr>
                <w:rFonts w:cs="HouschkaAltPro-Medium"/>
                <w:color w:val="002B41"/>
                <w:sz w:val="22"/>
                <w:szCs w:val="22"/>
                <w:lang w:val="en-GB"/>
              </w:rPr>
              <w:t xml:space="preserve"> Sea education have a transnational understanding and appreciation of the </w:t>
            </w:r>
            <w:proofErr w:type="spellStart"/>
            <w:r>
              <w:rPr>
                <w:rFonts w:cs="HouschkaAltPro-Medium"/>
                <w:color w:val="002B41"/>
                <w:sz w:val="22"/>
                <w:szCs w:val="22"/>
                <w:lang w:val="en-GB"/>
              </w:rPr>
              <w:t>Wadden</w:t>
            </w:r>
            <w:proofErr w:type="spellEnd"/>
            <w:r>
              <w:rPr>
                <w:rFonts w:cs="HouschkaAltPro-Medium"/>
                <w:color w:val="002B41"/>
                <w:sz w:val="22"/>
                <w:szCs w:val="22"/>
                <w:lang w:val="en-GB"/>
              </w:rPr>
              <w:t xml:space="preserve"> Sea World Heritage Site, its OUV and its protection in a trilateral and global context.</w:t>
            </w:r>
          </w:p>
        </w:tc>
      </w:tr>
      <w:tr w:rsidR="000D5255" w:rsidTr="00F40233">
        <w:trPr>
          <w:trHeight w:val="536"/>
        </w:trPr>
        <w:tc>
          <w:tcPr>
            <w:tcW w:w="704" w:type="dxa"/>
            <w:tcBorders>
              <w:top w:val="single" w:sz="4" w:space="0" w:color="auto"/>
              <w:left w:val="single" w:sz="4" w:space="0" w:color="auto"/>
              <w:bottom w:val="single" w:sz="4" w:space="0" w:color="auto"/>
              <w:right w:val="single" w:sz="4" w:space="0" w:color="auto"/>
            </w:tcBorders>
            <w:shd w:val="clear" w:color="auto" w:fill="A7E2FF" w:themeFill="text2" w:themeFillTint="33"/>
            <w:hideMark/>
          </w:tcPr>
          <w:p w:rsidR="000D5255" w:rsidRDefault="000D5255">
            <w:pPr>
              <w:rPr>
                <w:sz w:val="22"/>
                <w:szCs w:val="22"/>
                <w:lang w:val="en-GB"/>
              </w:rPr>
            </w:pPr>
            <w:r>
              <w:rPr>
                <w:sz w:val="22"/>
                <w:szCs w:val="22"/>
                <w:lang w:val="en-GB"/>
              </w:rPr>
              <w:t>1.1</w:t>
            </w:r>
          </w:p>
        </w:tc>
        <w:tc>
          <w:tcPr>
            <w:tcW w:w="13695" w:type="dxa"/>
            <w:gridSpan w:val="4"/>
            <w:tcBorders>
              <w:top w:val="single" w:sz="4" w:space="0" w:color="auto"/>
              <w:left w:val="single" w:sz="4" w:space="0" w:color="auto"/>
              <w:bottom w:val="single" w:sz="4" w:space="0" w:color="auto"/>
              <w:right w:val="single" w:sz="4" w:space="0" w:color="auto"/>
            </w:tcBorders>
            <w:shd w:val="clear" w:color="auto" w:fill="A7E2FF" w:themeFill="text2" w:themeFillTint="33"/>
            <w:hideMark/>
          </w:tcPr>
          <w:p w:rsidR="000D5255" w:rsidRDefault="000D5255">
            <w:r>
              <w:rPr>
                <w:rFonts w:cs="Georgia"/>
                <w:b/>
                <w:sz w:val="22"/>
                <w:szCs w:val="22"/>
                <w:lang w:val="en-GB"/>
              </w:rPr>
              <w:t>Measure:</w:t>
            </w:r>
            <w:r>
              <w:rPr>
                <w:rFonts w:cs="Georgia"/>
                <w:sz w:val="22"/>
                <w:szCs w:val="22"/>
                <w:lang w:val="en-GB"/>
              </w:rPr>
              <w:t xml:space="preserve"> </w:t>
            </w:r>
            <w:r>
              <w:rPr>
                <w:rFonts w:cs="HouschkaAltPro-Medium"/>
                <w:color w:val="002B41"/>
                <w:sz w:val="22"/>
                <w:szCs w:val="22"/>
                <w:lang w:val="en-GB"/>
              </w:rPr>
              <w:t xml:space="preserve">Provision of trilateral network – and service activities focussing on World Heritage issues targeted at multipliers of </w:t>
            </w:r>
            <w:proofErr w:type="spellStart"/>
            <w:r>
              <w:rPr>
                <w:rFonts w:cs="HouschkaAltPro-Medium"/>
                <w:color w:val="002B41"/>
                <w:sz w:val="22"/>
                <w:szCs w:val="22"/>
                <w:lang w:val="en-GB"/>
              </w:rPr>
              <w:t>Wadden</w:t>
            </w:r>
            <w:proofErr w:type="spellEnd"/>
            <w:r>
              <w:rPr>
                <w:rFonts w:cs="HouschkaAltPro-Medium"/>
                <w:color w:val="002B41"/>
                <w:sz w:val="22"/>
                <w:szCs w:val="22"/>
                <w:lang w:val="en-GB"/>
              </w:rPr>
              <w:t xml:space="preserve"> Sea education and visitor information</w:t>
            </w:r>
          </w:p>
        </w:tc>
      </w:tr>
      <w:tr w:rsidR="000D5255" w:rsidTr="00F40233">
        <w:trPr>
          <w:trHeight w:val="640"/>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1.1.1</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spacing w:after="120"/>
              <w:rPr>
                <w:rFonts w:cs="Georgia"/>
                <w:sz w:val="22"/>
                <w:lang w:val="en-GB"/>
              </w:rPr>
            </w:pPr>
            <w:r>
              <w:rPr>
                <w:rFonts w:cs="Georgia"/>
                <w:sz w:val="22"/>
                <w:lang w:val="en-GB"/>
              </w:rPr>
              <w:t>Provide coordination of the Trilateral Work Program to facilitate its implementation, evaluation and further development</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004" w:type="dxa"/>
            <w:tcBorders>
              <w:top w:val="single" w:sz="4" w:space="0" w:color="auto"/>
              <w:left w:val="single" w:sz="4" w:space="0" w:color="auto"/>
              <w:bottom w:val="single" w:sz="4" w:space="0" w:color="auto"/>
              <w:right w:val="single" w:sz="4" w:space="0" w:color="auto"/>
            </w:tcBorders>
          </w:tcPr>
          <w:p w:rsidR="000D5255" w:rsidRDefault="000D5255">
            <w:pPr>
              <w:rPr>
                <w:i/>
                <w:sz w:val="22"/>
                <w:szCs w:val="22"/>
                <w:lang w:val="en-GB"/>
              </w:rPr>
            </w:pPr>
          </w:p>
        </w:tc>
      </w:tr>
      <w:tr w:rsidR="000D5255" w:rsidTr="00F40233">
        <w:trPr>
          <w:trHeight w:val="1593"/>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1.1.2</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spacing w:after="120"/>
              <w:rPr>
                <w:rFonts w:cs="Georgia"/>
                <w:sz w:val="22"/>
                <w:lang w:val="en-GB"/>
              </w:rPr>
            </w:pPr>
            <w:r>
              <w:rPr>
                <w:rFonts w:cs="Georgia"/>
                <w:sz w:val="22"/>
                <w:lang w:val="en-GB"/>
              </w:rPr>
              <w:t xml:space="preserve">Designate representatives of </w:t>
            </w:r>
            <w:proofErr w:type="spellStart"/>
            <w:r>
              <w:rPr>
                <w:rFonts w:cs="Georgia"/>
                <w:sz w:val="22"/>
                <w:lang w:val="en-GB"/>
              </w:rPr>
              <w:t>Wadden</w:t>
            </w:r>
            <w:proofErr w:type="spellEnd"/>
            <w:r>
              <w:rPr>
                <w:rFonts w:cs="Georgia"/>
                <w:sz w:val="22"/>
                <w:lang w:val="en-GB"/>
              </w:rPr>
              <w:t xml:space="preserve"> Sea education from the Dutch, Danish Lower Saxon/Hamburg and Schleswig-Holstein </w:t>
            </w:r>
            <w:proofErr w:type="spellStart"/>
            <w:r>
              <w:rPr>
                <w:rFonts w:cs="Georgia"/>
                <w:sz w:val="22"/>
                <w:lang w:val="en-GB"/>
              </w:rPr>
              <w:t>Wadden</w:t>
            </w:r>
            <w:proofErr w:type="spellEnd"/>
            <w:r>
              <w:rPr>
                <w:rFonts w:cs="Georgia"/>
                <w:sz w:val="22"/>
                <w:lang w:val="en-GB"/>
              </w:rPr>
              <w:t xml:space="preserve"> Sea Region </w:t>
            </w:r>
            <w:r>
              <w:rPr>
                <w:rFonts w:ascii="Cambria" w:eastAsia="Cambria" w:hAnsi="Cambria" w:cs="Cambria"/>
                <w:sz w:val="22"/>
                <w:lang w:val="en-GB"/>
              </w:rPr>
              <w:t>to link – as Network Group Education (NGE) – the trilateral and regional initiatives and ensure that the trilateral activities and actions meet the demand on a common denominator.</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004" w:type="dxa"/>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 xml:space="preserve">This is to some extent a national measure, but it is a prerequisite for the trilateral implementation of the Education Strategy and therefore listed here. </w:t>
            </w:r>
          </w:p>
        </w:tc>
      </w:tr>
      <w:tr w:rsidR="000D5255" w:rsidTr="00F40233">
        <w:trPr>
          <w:trHeight w:val="372"/>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1.1.3</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spacing w:after="120"/>
              <w:rPr>
                <w:rFonts w:cs="Georgia"/>
                <w:sz w:val="22"/>
                <w:lang w:val="en-GB"/>
              </w:rPr>
            </w:pPr>
            <w:r>
              <w:rPr>
                <w:rFonts w:ascii="Cambria" w:eastAsia="Cambria" w:hAnsi="Cambria" w:cs="Cambria"/>
                <w:sz w:val="22"/>
                <w:lang w:val="en-GB"/>
              </w:rPr>
              <w:t xml:space="preserve">Facilitate NGE meetings and communication </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004" w:type="dxa"/>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See also 1.1.2</w:t>
            </w: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1.1.4</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widowControl w:val="0"/>
              <w:autoSpaceDE w:val="0"/>
              <w:autoSpaceDN w:val="0"/>
              <w:adjustRightInd w:val="0"/>
              <w:rPr>
                <w:sz w:val="22"/>
                <w:szCs w:val="22"/>
                <w:lang w:val="en-GB"/>
              </w:rPr>
            </w:pPr>
            <w:r>
              <w:rPr>
                <w:sz w:val="22"/>
                <w:szCs w:val="22"/>
                <w:lang w:val="en-GB"/>
              </w:rPr>
              <w:t xml:space="preserve">Organise annual workshops at different </w:t>
            </w:r>
            <w:proofErr w:type="spellStart"/>
            <w:r>
              <w:rPr>
                <w:sz w:val="22"/>
                <w:szCs w:val="22"/>
                <w:lang w:val="en-GB"/>
              </w:rPr>
              <w:t>Wadden</w:t>
            </w:r>
            <w:proofErr w:type="spellEnd"/>
            <w:r>
              <w:rPr>
                <w:sz w:val="22"/>
                <w:szCs w:val="22"/>
                <w:lang w:val="en-GB"/>
              </w:rPr>
              <w:t xml:space="preserve"> Sea locations to bring together multipliers of </w:t>
            </w:r>
            <w:proofErr w:type="spellStart"/>
            <w:r>
              <w:rPr>
                <w:sz w:val="22"/>
                <w:szCs w:val="22"/>
                <w:lang w:val="en-GB"/>
              </w:rPr>
              <w:t>Wadden</w:t>
            </w:r>
            <w:proofErr w:type="spellEnd"/>
            <w:r>
              <w:rPr>
                <w:sz w:val="22"/>
                <w:szCs w:val="22"/>
                <w:lang w:val="en-GB"/>
              </w:rPr>
              <w:t xml:space="preserve"> Sea education from the three countries</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004" w:type="dxa"/>
            <w:tcBorders>
              <w:top w:val="single" w:sz="4" w:space="0" w:color="auto"/>
              <w:left w:val="single" w:sz="4" w:space="0" w:color="auto"/>
              <w:bottom w:val="single" w:sz="4" w:space="0" w:color="auto"/>
              <w:right w:val="single" w:sz="4" w:space="0" w:color="auto"/>
            </w:tcBorders>
          </w:tcPr>
          <w:p w:rsidR="000D5255" w:rsidRDefault="000D5255">
            <w:pPr>
              <w:rPr>
                <w:i/>
                <w:sz w:val="22"/>
                <w:szCs w:val="22"/>
                <w:lang w:val="en-GB"/>
              </w:rPr>
            </w:pPr>
          </w:p>
        </w:tc>
      </w:tr>
      <w:tr w:rsidR="000D5255" w:rsidTr="00F40233">
        <w:trPr>
          <w:trHeight w:val="536"/>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1.1.5</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 xml:space="preserve">Maintain IWSS website (microsite of the WSWH website) as </w:t>
            </w:r>
            <w:r>
              <w:rPr>
                <w:rStyle w:val="Hyperlink"/>
                <w:rFonts w:cs="Georgia"/>
                <w:sz w:val="22"/>
                <w:lang w:val="en-GB"/>
              </w:rPr>
              <w:t>online platform for WSWH education</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highlight w:val="cyan"/>
                <w:lang w:val="en-GB"/>
              </w:rPr>
            </w:pPr>
            <w:r>
              <w:rPr>
                <w:sz w:val="22"/>
                <w:szCs w:val="22"/>
                <w:lang w:val="en-GB"/>
              </w:rPr>
              <w:t>2019-2022</w:t>
            </w:r>
          </w:p>
        </w:tc>
        <w:tc>
          <w:tcPr>
            <w:tcW w:w="3004" w:type="dxa"/>
            <w:tcBorders>
              <w:top w:val="single" w:sz="4" w:space="0" w:color="auto"/>
              <w:left w:val="single" w:sz="4" w:space="0" w:color="auto"/>
              <w:bottom w:val="single" w:sz="4" w:space="0" w:color="auto"/>
              <w:right w:val="single" w:sz="4" w:space="0" w:color="auto"/>
            </w:tcBorders>
          </w:tcPr>
          <w:p w:rsidR="000D5255" w:rsidRDefault="000D5255">
            <w:pPr>
              <w:rPr>
                <w:i/>
                <w:sz w:val="22"/>
                <w:szCs w:val="22"/>
                <w:lang w:val="en-GB"/>
              </w:rPr>
            </w:pP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1.1.6</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Compile and publish a basic newsletter as formal “extract” of workshop results &amp; regional information (provided in English)</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004" w:type="dxa"/>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To be initiated</w:t>
            </w:r>
          </w:p>
        </w:tc>
      </w:tr>
      <w:tr w:rsidR="000D5255" w:rsidTr="00F40233">
        <w:trPr>
          <w:trHeight w:val="536"/>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1.1.7</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pStyle w:val="StandardWeb"/>
              <w:spacing w:before="0" w:beforeAutospacing="0" w:after="0" w:afterAutospacing="0"/>
              <w:rPr>
                <w:rFonts w:asciiTheme="minorHAnsi" w:hAnsiTheme="minorHAnsi"/>
                <w:sz w:val="22"/>
                <w:lang w:val="en-GB"/>
              </w:rPr>
            </w:pPr>
            <w:r>
              <w:rPr>
                <w:rFonts w:asciiTheme="minorHAnsi" w:hAnsiTheme="minorHAnsi"/>
                <w:sz w:val="22"/>
                <w:lang w:val="en-GB"/>
              </w:rPr>
              <w:t>Regularly evaluate the Trilateral Work Program collecting both qualitative and quantitative data (feedback at annual workshops, website analysis, etc.;)</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004" w:type="dxa"/>
            <w:tcBorders>
              <w:top w:val="single" w:sz="4" w:space="0" w:color="auto"/>
              <w:left w:val="single" w:sz="4" w:space="0" w:color="auto"/>
              <w:bottom w:val="single" w:sz="4" w:space="0" w:color="auto"/>
              <w:right w:val="single" w:sz="4" w:space="0" w:color="auto"/>
            </w:tcBorders>
          </w:tcPr>
          <w:p w:rsidR="000D5255" w:rsidRDefault="000D5255">
            <w:pPr>
              <w:rPr>
                <w:i/>
                <w:sz w:val="22"/>
                <w:szCs w:val="22"/>
                <w:lang w:val="en-GB"/>
              </w:rPr>
            </w:pP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1.1.8</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lang w:val="en-GB"/>
              </w:rPr>
              <w:t xml:space="preserve">Carry out online survey for qualitative and quantitative evaluation among </w:t>
            </w:r>
            <w:r>
              <w:rPr>
                <w:sz w:val="22"/>
                <w:szCs w:val="22"/>
                <w:lang w:val="en-GB"/>
              </w:rPr>
              <w:t>multipliers of WSWH education from the three countries</w:t>
            </w:r>
            <w:r>
              <w:rPr>
                <w:sz w:val="22"/>
                <w:lang w:val="en-GB"/>
              </w:rPr>
              <w:t xml:space="preserve"> </w:t>
            </w:r>
          </w:p>
        </w:tc>
        <w:tc>
          <w:tcPr>
            <w:tcW w:w="1823"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2021</w:t>
            </w:r>
          </w:p>
        </w:tc>
        <w:tc>
          <w:tcPr>
            <w:tcW w:w="3004" w:type="dxa"/>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Prior to next Trilateral Governmental Conference</w:t>
            </w:r>
          </w:p>
        </w:tc>
      </w:tr>
      <w:tr w:rsidR="000D5255" w:rsidTr="00F40233">
        <w:trPr>
          <w:trHeight w:val="615"/>
        </w:trPr>
        <w:tc>
          <w:tcPr>
            <w:tcW w:w="704" w:type="dxa"/>
            <w:tcBorders>
              <w:top w:val="single" w:sz="4" w:space="0" w:color="auto"/>
              <w:left w:val="single" w:sz="4" w:space="0" w:color="auto"/>
              <w:bottom w:val="single" w:sz="4" w:space="0" w:color="auto"/>
              <w:right w:val="single" w:sz="4" w:space="0" w:color="auto"/>
            </w:tcBorders>
            <w:shd w:val="clear" w:color="auto" w:fill="A7E2FF" w:themeFill="text2" w:themeFillTint="33"/>
            <w:hideMark/>
          </w:tcPr>
          <w:p w:rsidR="000D5255" w:rsidRDefault="000D5255">
            <w:pPr>
              <w:rPr>
                <w:sz w:val="22"/>
                <w:szCs w:val="22"/>
                <w:lang w:val="en-GB"/>
              </w:rPr>
            </w:pPr>
            <w:r>
              <w:rPr>
                <w:sz w:val="22"/>
                <w:szCs w:val="22"/>
                <w:lang w:val="en-GB"/>
              </w:rPr>
              <w:lastRenderedPageBreak/>
              <w:t>1.2</w:t>
            </w:r>
          </w:p>
        </w:tc>
        <w:tc>
          <w:tcPr>
            <w:tcW w:w="13695" w:type="dxa"/>
            <w:gridSpan w:val="4"/>
            <w:tcBorders>
              <w:top w:val="single" w:sz="4" w:space="0" w:color="auto"/>
              <w:left w:val="single" w:sz="4" w:space="0" w:color="auto"/>
              <w:bottom w:val="single" w:sz="4" w:space="0" w:color="auto"/>
              <w:right w:val="single" w:sz="4" w:space="0" w:color="auto"/>
            </w:tcBorders>
            <w:shd w:val="clear" w:color="auto" w:fill="A7E2FF" w:themeFill="text2" w:themeFillTint="33"/>
            <w:hideMark/>
          </w:tcPr>
          <w:p w:rsidR="000D5255" w:rsidRDefault="000D5255">
            <w:r>
              <w:rPr>
                <w:rFonts w:cs="Georgia"/>
                <w:b/>
                <w:sz w:val="22"/>
                <w:szCs w:val="22"/>
                <w:lang w:val="en-GB"/>
              </w:rPr>
              <w:t xml:space="preserve">Measure: </w:t>
            </w:r>
            <w:r>
              <w:rPr>
                <w:rFonts w:cs="HouschkaAltPro-Medium"/>
                <w:color w:val="002B41"/>
                <w:sz w:val="22"/>
                <w:szCs w:val="22"/>
                <w:lang w:val="en-GB"/>
              </w:rPr>
              <w:t xml:space="preserve">Engagement in cooperation and exchange activities with </w:t>
            </w:r>
            <w:proofErr w:type="spellStart"/>
            <w:r>
              <w:rPr>
                <w:rFonts w:cs="HouschkaAltPro-Medium"/>
                <w:color w:val="002B41"/>
                <w:sz w:val="22"/>
                <w:szCs w:val="22"/>
                <w:lang w:val="en-GB"/>
              </w:rPr>
              <w:t>Wadden</w:t>
            </w:r>
            <w:proofErr w:type="spellEnd"/>
            <w:r>
              <w:rPr>
                <w:rFonts w:cs="HouschkaAltPro-Medium"/>
                <w:color w:val="002B41"/>
                <w:sz w:val="22"/>
                <w:szCs w:val="22"/>
                <w:lang w:val="en-GB"/>
              </w:rPr>
              <w:t xml:space="preserve"> Sea related (marine) World Heritage sites and protected sites at a global scale.</w:t>
            </w: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1.2.1</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rFonts w:cs="Georgia"/>
                <w:sz w:val="22"/>
                <w:lang w:val="en-GB"/>
              </w:rPr>
            </w:pPr>
            <w:r>
              <w:rPr>
                <w:rFonts w:cs="Georgia"/>
                <w:sz w:val="22"/>
                <w:lang w:val="en-GB"/>
              </w:rPr>
              <w:t xml:space="preserve">Contribute educational expertise and experience to the MoU </w:t>
            </w:r>
            <w:proofErr w:type="spellStart"/>
            <w:r>
              <w:rPr>
                <w:rFonts w:cs="Georgia"/>
                <w:sz w:val="22"/>
                <w:lang w:val="en-GB"/>
              </w:rPr>
              <w:t>Wadden</w:t>
            </w:r>
            <w:proofErr w:type="spellEnd"/>
            <w:r>
              <w:rPr>
                <w:rFonts w:cs="Georgia"/>
                <w:sz w:val="22"/>
                <w:lang w:val="en-GB"/>
              </w:rPr>
              <w:t xml:space="preserve"> Sea – Korea, support exchange activities and knowledge transfer</w:t>
            </w:r>
          </w:p>
        </w:tc>
        <w:tc>
          <w:tcPr>
            <w:tcW w:w="887"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940"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On demand</w:t>
            </w:r>
          </w:p>
        </w:tc>
      </w:tr>
      <w:tr w:rsidR="000D5255" w:rsidTr="00F40233">
        <w:trPr>
          <w:trHeight w:val="1072"/>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1.2.2</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widowControl w:val="0"/>
              <w:autoSpaceDE w:val="0"/>
              <w:autoSpaceDN w:val="0"/>
              <w:adjustRightInd w:val="0"/>
              <w:rPr>
                <w:rFonts w:cs="Georgia"/>
                <w:sz w:val="22"/>
                <w:lang w:val="en-GB"/>
              </w:rPr>
            </w:pPr>
            <w:r>
              <w:rPr>
                <w:rFonts w:cs="Georgia"/>
                <w:sz w:val="22"/>
                <w:lang w:val="en-GB"/>
              </w:rPr>
              <w:t xml:space="preserve">If reasonable possibilities with respect to budget and capacity allow, contribute educational expertise and experience to the </w:t>
            </w:r>
            <w:proofErr w:type="spellStart"/>
            <w:r>
              <w:rPr>
                <w:rFonts w:cs="Georgia"/>
                <w:sz w:val="22"/>
                <w:lang w:val="en-GB"/>
              </w:rPr>
              <w:t>Wadden</w:t>
            </w:r>
            <w:proofErr w:type="spellEnd"/>
            <w:r>
              <w:rPr>
                <w:rFonts w:cs="Georgia"/>
                <w:sz w:val="22"/>
                <w:lang w:val="en-GB"/>
              </w:rPr>
              <w:t xml:space="preserve"> Sea Flyway Initiative (including the “Migratory Birds for People” project), support networking activities of visitor centres and knowledge transfer</w:t>
            </w:r>
          </w:p>
        </w:tc>
        <w:tc>
          <w:tcPr>
            <w:tcW w:w="887"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940"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Ongoing; IWSS advises “Migratory Birds for People” steering group</w:t>
            </w:r>
          </w:p>
        </w:tc>
      </w:tr>
      <w:tr w:rsidR="000D5255" w:rsidTr="00F40233">
        <w:trPr>
          <w:trHeight w:val="789"/>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1.2.3</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widowControl w:val="0"/>
              <w:autoSpaceDE w:val="0"/>
              <w:autoSpaceDN w:val="0"/>
              <w:adjustRightInd w:val="0"/>
              <w:rPr>
                <w:rFonts w:cs="Georgia"/>
                <w:sz w:val="22"/>
                <w:lang w:val="en-GB"/>
              </w:rPr>
            </w:pPr>
            <w:r>
              <w:rPr>
                <w:rFonts w:cs="Georgia"/>
                <w:sz w:val="22"/>
                <w:lang w:val="en-GB"/>
              </w:rPr>
              <w:t xml:space="preserve">If reasonable possibilities with respect to budget and capacity allow, contribute educational expertise and experience to the MoU Banc </w:t>
            </w:r>
            <w:proofErr w:type="spellStart"/>
            <w:r>
              <w:rPr>
                <w:rFonts w:cs="Georgia"/>
                <w:sz w:val="22"/>
                <w:lang w:val="en-GB"/>
              </w:rPr>
              <w:t>d’Arguin</w:t>
            </w:r>
            <w:proofErr w:type="spellEnd"/>
            <w:r>
              <w:rPr>
                <w:rFonts w:cs="Georgia"/>
                <w:sz w:val="22"/>
                <w:lang w:val="en-GB"/>
              </w:rPr>
              <w:t xml:space="preserve"> </w:t>
            </w:r>
            <w:proofErr w:type="spellStart"/>
            <w:r>
              <w:rPr>
                <w:rFonts w:cs="Georgia"/>
                <w:sz w:val="22"/>
                <w:lang w:val="en-GB"/>
              </w:rPr>
              <w:t>Wadden</w:t>
            </w:r>
            <w:proofErr w:type="spellEnd"/>
            <w:r>
              <w:rPr>
                <w:rFonts w:cs="Georgia"/>
                <w:sz w:val="22"/>
                <w:lang w:val="en-GB"/>
              </w:rPr>
              <w:t xml:space="preserve"> Sea, support exchange activities and knowledge transfer</w:t>
            </w:r>
          </w:p>
        </w:tc>
        <w:tc>
          <w:tcPr>
            <w:tcW w:w="887"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940"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On demand</w:t>
            </w:r>
          </w:p>
        </w:tc>
      </w:tr>
      <w:tr w:rsidR="000D5255" w:rsidTr="00F40233">
        <w:trPr>
          <w:trHeight w:val="804"/>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1.2.4</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widowControl w:val="0"/>
              <w:autoSpaceDE w:val="0"/>
              <w:autoSpaceDN w:val="0"/>
              <w:adjustRightInd w:val="0"/>
              <w:rPr>
                <w:rFonts w:cs="Georgia"/>
                <w:sz w:val="22"/>
                <w:lang w:val="en-GB"/>
              </w:rPr>
            </w:pPr>
            <w:r>
              <w:rPr>
                <w:rFonts w:cs="Georgia"/>
                <w:sz w:val="22"/>
                <w:lang w:val="en-GB"/>
              </w:rPr>
              <w:t>If reasonable possibilities with respect to budget and capacity allow, contribute educational expertise and experience to the East Asian Australasian Flyway Partnership, support exchange activities and knowledge transfer</w:t>
            </w:r>
          </w:p>
        </w:tc>
        <w:tc>
          <w:tcPr>
            <w:tcW w:w="887"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940"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On demand</w:t>
            </w: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shd w:val="clear" w:color="auto" w:fill="99CC00"/>
            <w:hideMark/>
          </w:tcPr>
          <w:p w:rsidR="000D5255" w:rsidRDefault="000D5255">
            <w:pPr>
              <w:rPr>
                <w:sz w:val="22"/>
                <w:szCs w:val="22"/>
                <w:lang w:val="en-GB"/>
              </w:rPr>
            </w:pPr>
            <w:r>
              <w:rPr>
                <w:sz w:val="22"/>
                <w:szCs w:val="22"/>
                <w:lang w:val="en-GB"/>
              </w:rPr>
              <w:t>2.</w:t>
            </w:r>
          </w:p>
        </w:tc>
        <w:tc>
          <w:tcPr>
            <w:tcW w:w="13695" w:type="dxa"/>
            <w:gridSpan w:val="4"/>
            <w:tcBorders>
              <w:top w:val="single" w:sz="4" w:space="0" w:color="auto"/>
              <w:left w:val="single" w:sz="4" w:space="0" w:color="auto"/>
              <w:bottom w:val="single" w:sz="4" w:space="0" w:color="auto"/>
              <w:right w:val="single" w:sz="4" w:space="0" w:color="auto"/>
            </w:tcBorders>
            <w:shd w:val="clear" w:color="auto" w:fill="99CC00"/>
            <w:hideMark/>
          </w:tcPr>
          <w:p w:rsidR="000D5255" w:rsidRDefault="000D5255">
            <w:r>
              <w:rPr>
                <w:b/>
                <w:sz w:val="22"/>
                <w:szCs w:val="22"/>
                <w:lang w:val="en-GB"/>
              </w:rPr>
              <w:t>Objective:</w:t>
            </w:r>
            <w:r>
              <w:rPr>
                <w:sz w:val="22"/>
                <w:szCs w:val="22"/>
                <w:lang w:val="en-GB"/>
              </w:rPr>
              <w:t xml:space="preserve"> </w:t>
            </w:r>
            <w:r>
              <w:rPr>
                <w:sz w:val="22"/>
                <w:u w:val="single"/>
                <w:lang w:val="en-GB"/>
              </w:rPr>
              <w:t>High-quality information:</w:t>
            </w:r>
            <w:r>
              <w:rPr>
                <w:sz w:val="22"/>
                <w:lang w:val="en-GB"/>
              </w:rPr>
              <w:t xml:space="preserve"> Comprehensive holistic information and education offers provide consistent communication of the </w:t>
            </w:r>
            <w:r>
              <w:rPr>
                <w:color w:val="212121"/>
                <w:sz w:val="22"/>
                <w:lang w:val="en-GB"/>
              </w:rPr>
              <w:t xml:space="preserve">‘Outstanding Universal Value’ throughout the </w:t>
            </w:r>
            <w:proofErr w:type="spellStart"/>
            <w:r>
              <w:rPr>
                <w:color w:val="212121"/>
                <w:sz w:val="22"/>
                <w:lang w:val="en-GB"/>
              </w:rPr>
              <w:t>Wadden</w:t>
            </w:r>
            <w:proofErr w:type="spellEnd"/>
            <w:r>
              <w:rPr>
                <w:color w:val="212121"/>
                <w:sz w:val="22"/>
                <w:lang w:val="en-GB"/>
              </w:rPr>
              <w:t xml:space="preserve"> Sea Region and beyond.</w:t>
            </w: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shd w:val="clear" w:color="auto" w:fill="A7E2FF" w:themeFill="text2" w:themeFillTint="33"/>
            <w:hideMark/>
          </w:tcPr>
          <w:p w:rsidR="000D5255" w:rsidRDefault="000D5255">
            <w:pPr>
              <w:rPr>
                <w:sz w:val="22"/>
                <w:szCs w:val="22"/>
                <w:lang w:val="en-GB"/>
              </w:rPr>
            </w:pPr>
            <w:r>
              <w:rPr>
                <w:sz w:val="22"/>
                <w:szCs w:val="22"/>
                <w:lang w:val="en-GB"/>
              </w:rPr>
              <w:t>2.1</w:t>
            </w:r>
          </w:p>
        </w:tc>
        <w:tc>
          <w:tcPr>
            <w:tcW w:w="13695" w:type="dxa"/>
            <w:gridSpan w:val="4"/>
            <w:tcBorders>
              <w:top w:val="single" w:sz="4" w:space="0" w:color="auto"/>
              <w:left w:val="single" w:sz="4" w:space="0" w:color="auto"/>
              <w:bottom w:val="single" w:sz="4" w:space="0" w:color="auto"/>
              <w:right w:val="single" w:sz="4" w:space="0" w:color="auto"/>
            </w:tcBorders>
            <w:shd w:val="clear" w:color="auto" w:fill="A7E2FF" w:themeFill="text2" w:themeFillTint="33"/>
            <w:hideMark/>
          </w:tcPr>
          <w:p w:rsidR="000D5255" w:rsidRDefault="000D5255">
            <w:r>
              <w:rPr>
                <w:rFonts w:cs="Georgia"/>
                <w:b/>
                <w:sz w:val="22"/>
                <w:szCs w:val="22"/>
                <w:lang w:val="en-GB"/>
              </w:rPr>
              <w:t>Measure:</w:t>
            </w:r>
            <w:r>
              <w:rPr>
                <w:rFonts w:cs="Georgia"/>
                <w:sz w:val="22"/>
                <w:szCs w:val="22"/>
                <w:lang w:val="en-GB"/>
              </w:rPr>
              <w:t xml:space="preserve"> </w:t>
            </w:r>
            <w:r>
              <w:rPr>
                <w:rFonts w:cs="HouschkaAltPro-Medium"/>
                <w:color w:val="002B41"/>
                <w:sz w:val="22"/>
                <w:szCs w:val="22"/>
                <w:lang w:val="en-GB"/>
              </w:rPr>
              <w:t>Provision of trilateral information, education and edutainment resources with a focus on the joint WHS targeted primarily at non-formal and informal learning audiences.</w:t>
            </w:r>
          </w:p>
        </w:tc>
      </w:tr>
      <w:tr w:rsidR="000D5255" w:rsidTr="00F40233">
        <w:trPr>
          <w:trHeight w:val="536"/>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2.1.1</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rFonts w:cs="Georgia"/>
                <w:sz w:val="22"/>
                <w:lang w:val="en-GB"/>
              </w:rPr>
            </w:pPr>
            <w:r>
              <w:rPr>
                <w:rFonts w:cs="Georgia"/>
                <w:sz w:val="22"/>
                <w:lang w:val="en-GB"/>
              </w:rPr>
              <w:t xml:space="preserve">Provide overview and secure download offer of (free) IWSS resources and other educational WSWH resources on IWSS website </w:t>
            </w:r>
          </w:p>
        </w:tc>
        <w:tc>
          <w:tcPr>
            <w:tcW w:w="887"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940" w:type="dxa"/>
            <w:gridSpan w:val="2"/>
            <w:tcBorders>
              <w:top w:val="single" w:sz="4" w:space="0" w:color="auto"/>
              <w:left w:val="single" w:sz="4" w:space="0" w:color="auto"/>
              <w:bottom w:val="single" w:sz="4" w:space="0" w:color="auto"/>
              <w:right w:val="single" w:sz="4" w:space="0" w:color="auto"/>
            </w:tcBorders>
          </w:tcPr>
          <w:p w:rsidR="000D5255" w:rsidRDefault="000D5255">
            <w:pPr>
              <w:rPr>
                <w:i/>
                <w:sz w:val="22"/>
                <w:szCs w:val="22"/>
                <w:lang w:val="en-GB"/>
              </w:rPr>
            </w:pPr>
            <w:r>
              <w:rPr>
                <w:rFonts w:cs="Georgia"/>
                <w:sz w:val="22"/>
                <w:lang w:val="en-GB"/>
              </w:rPr>
              <w:t>(</w:t>
            </w:r>
            <w:hyperlink r:id="rId12" w:history="1">
              <w:r>
                <w:rPr>
                  <w:rStyle w:val="Hyperlink"/>
                  <w:i/>
                  <w:sz w:val="22"/>
                  <w:szCs w:val="22"/>
                  <w:lang w:val="en-GB"/>
                </w:rPr>
                <w:t>http://www.iwss.org/resources</w:t>
              </w:r>
            </w:hyperlink>
            <w:r>
              <w:rPr>
                <w:i/>
                <w:sz w:val="22"/>
                <w:szCs w:val="22"/>
                <w:lang w:val="en-GB"/>
              </w:rPr>
              <w:t>)</w:t>
            </w:r>
          </w:p>
          <w:p w:rsidR="000D5255" w:rsidRDefault="000D5255">
            <w:pPr>
              <w:rPr>
                <w:i/>
                <w:sz w:val="22"/>
                <w:szCs w:val="22"/>
                <w:lang w:val="en-GB"/>
              </w:rPr>
            </w:pPr>
          </w:p>
        </w:tc>
      </w:tr>
      <w:tr w:rsidR="000D5255" w:rsidTr="00F40233">
        <w:trPr>
          <w:trHeight w:val="521"/>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2.1.2</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Secure availability and effective dissemination of WSWH Core Products via distribution partners (online-shop, regional solutions)</w:t>
            </w:r>
          </w:p>
        </w:tc>
        <w:tc>
          <w:tcPr>
            <w:tcW w:w="887"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940" w:type="dxa"/>
            <w:gridSpan w:val="2"/>
            <w:tcBorders>
              <w:top w:val="single" w:sz="4" w:space="0" w:color="auto"/>
              <w:left w:val="single" w:sz="4" w:space="0" w:color="auto"/>
              <w:bottom w:val="single" w:sz="4" w:space="0" w:color="auto"/>
              <w:right w:val="single" w:sz="4" w:space="0" w:color="auto"/>
            </w:tcBorders>
          </w:tcPr>
          <w:p w:rsidR="000D5255" w:rsidRDefault="000D5255">
            <w:pPr>
              <w:rPr>
                <w:sz w:val="22"/>
                <w:szCs w:val="22"/>
                <w:lang w:val="en-GB"/>
              </w:rPr>
            </w:pPr>
          </w:p>
        </w:tc>
      </w:tr>
      <w:tr w:rsidR="000D5255" w:rsidTr="00F40233">
        <w:trPr>
          <w:trHeight w:val="536"/>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2.1.3</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 xml:space="preserve">Support the development of WSWH related national/regional education activities with trilateral expertise, experience &amp; networking, and check trilateral usability  </w:t>
            </w:r>
          </w:p>
        </w:tc>
        <w:tc>
          <w:tcPr>
            <w:tcW w:w="887"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2019-2022</w:t>
            </w:r>
          </w:p>
        </w:tc>
        <w:tc>
          <w:tcPr>
            <w:tcW w:w="3940"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i/>
                <w:sz w:val="22"/>
                <w:szCs w:val="22"/>
                <w:lang w:val="en-GB"/>
              </w:rPr>
            </w:pPr>
            <w:r>
              <w:rPr>
                <w:i/>
                <w:sz w:val="22"/>
                <w:szCs w:val="22"/>
                <w:lang w:val="en-GB"/>
              </w:rPr>
              <w:t>On demand</w:t>
            </w:r>
          </w:p>
        </w:tc>
      </w:tr>
      <w:tr w:rsidR="000D5255" w:rsidTr="00F40233">
        <w:trPr>
          <w:trHeight w:val="2382"/>
        </w:trPr>
        <w:tc>
          <w:tcPr>
            <w:tcW w:w="704"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2.1.4</w:t>
            </w:r>
          </w:p>
        </w:tc>
        <w:tc>
          <w:tcPr>
            <w:tcW w:w="8868" w:type="dxa"/>
            <w:tcBorders>
              <w:top w:val="single" w:sz="4" w:space="0" w:color="auto"/>
              <w:left w:val="single" w:sz="4" w:space="0" w:color="auto"/>
              <w:bottom w:val="single" w:sz="4" w:space="0" w:color="auto"/>
              <w:right w:val="single" w:sz="4" w:space="0" w:color="auto"/>
            </w:tcBorders>
            <w:hideMark/>
          </w:tcPr>
          <w:p w:rsidR="000D5255" w:rsidRDefault="000D5255">
            <w:pPr>
              <w:rPr>
                <w:sz w:val="22"/>
                <w:szCs w:val="22"/>
                <w:lang w:val="en-GB"/>
              </w:rPr>
            </w:pPr>
            <w:r>
              <w:rPr>
                <w:sz w:val="22"/>
                <w:szCs w:val="22"/>
                <w:lang w:val="en-GB"/>
              </w:rPr>
              <w:t xml:space="preserve">Support the initiation and – in case of successful funding - implementation of trilateral projects to develop new WSWH education products, tools or activities in cooperation with the NGE and network partners </w:t>
            </w:r>
          </w:p>
        </w:tc>
        <w:tc>
          <w:tcPr>
            <w:tcW w:w="887" w:type="dxa"/>
            <w:tcBorders>
              <w:top w:val="single" w:sz="4" w:space="0" w:color="auto"/>
              <w:left w:val="single" w:sz="4" w:space="0" w:color="auto"/>
              <w:bottom w:val="single" w:sz="4" w:space="0" w:color="auto"/>
              <w:right w:val="single" w:sz="4" w:space="0" w:color="auto"/>
            </w:tcBorders>
          </w:tcPr>
          <w:p w:rsidR="000D5255" w:rsidRDefault="000D5255">
            <w:pPr>
              <w:rPr>
                <w:sz w:val="22"/>
                <w:szCs w:val="22"/>
                <w:lang w:val="en-GB"/>
              </w:rPr>
            </w:pPr>
          </w:p>
        </w:tc>
        <w:tc>
          <w:tcPr>
            <w:tcW w:w="3940" w:type="dxa"/>
            <w:gridSpan w:val="2"/>
            <w:tcBorders>
              <w:top w:val="single" w:sz="4" w:space="0" w:color="auto"/>
              <w:left w:val="single" w:sz="4" w:space="0" w:color="auto"/>
              <w:bottom w:val="single" w:sz="4" w:space="0" w:color="auto"/>
              <w:right w:val="single" w:sz="4" w:space="0" w:color="auto"/>
            </w:tcBorders>
            <w:hideMark/>
          </w:tcPr>
          <w:p w:rsidR="000D5255" w:rsidRDefault="000D5255">
            <w:pPr>
              <w:rPr>
                <w:rFonts w:eastAsia="Times New Roman" w:cs="Times New Roman"/>
                <w:i/>
                <w:sz w:val="22"/>
                <w:szCs w:val="22"/>
                <w:lang w:val="en-GB"/>
              </w:rPr>
            </w:pPr>
            <w:r>
              <w:rPr>
                <w:rFonts w:eastAsia="Times New Roman" w:cs="Times New Roman"/>
                <w:i/>
                <w:sz w:val="22"/>
                <w:szCs w:val="22"/>
                <w:lang w:val="en-GB"/>
              </w:rPr>
              <w:t>The outcome of the last IWSS workshop provided valuable input for possible new products/tools.</w:t>
            </w:r>
          </w:p>
          <w:p w:rsidR="000D5255" w:rsidRDefault="000D5255">
            <w:pPr>
              <w:rPr>
                <w:rFonts w:eastAsia="Times New Roman" w:cs="Times New Roman"/>
                <w:i/>
                <w:sz w:val="22"/>
                <w:szCs w:val="22"/>
                <w:lang w:val="en-GB"/>
              </w:rPr>
            </w:pPr>
            <w:r>
              <w:rPr>
                <w:rFonts w:eastAsia="Times New Roman" w:cs="Times New Roman"/>
                <w:i/>
                <w:sz w:val="22"/>
                <w:szCs w:val="22"/>
                <w:lang w:val="en-GB"/>
              </w:rPr>
              <w:t>The various ideas and other ideas need to be further specified and discussed by the NGE whether they are of trilateral relevance and suitable to be realized as additional projects with respective additional funding to be raised.</w:t>
            </w:r>
          </w:p>
        </w:tc>
      </w:tr>
    </w:tbl>
    <w:p w:rsidR="00615200" w:rsidRDefault="00615200" w:rsidP="00884A64">
      <w:pPr>
        <w:spacing w:after="120" w:line="276" w:lineRule="auto"/>
        <w:rPr>
          <w:sz w:val="22"/>
          <w:szCs w:val="22"/>
        </w:rPr>
      </w:pPr>
      <w:bookmarkStart w:id="0" w:name="_GoBack"/>
      <w:bookmarkEnd w:id="0"/>
    </w:p>
    <w:sectPr w:rsidR="00615200" w:rsidSect="00921570">
      <w:pgSz w:w="16840" w:h="11907" w:orient="landscape" w:code="9"/>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HouschkaAltPro-Medium">
    <w:altName w:val="Cambria"/>
    <w:panose1 w:val="00000000000000000000"/>
    <w:charset w:val="4D"/>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B478AA">
      <w:rPr>
        <w:noProof/>
        <w:sz w:val="20"/>
        <w:szCs w:val="20"/>
      </w:rPr>
      <w:t>2</w:t>
    </w:r>
    <w:r w:rsidRPr="00884A64">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7D8" w:rsidRPr="006607D8" w:rsidRDefault="003268D8" w:rsidP="006607D8">
    <w:pPr>
      <w:rPr>
        <w:rFonts w:ascii="Arial" w:hAnsi="Arial" w:cs="Arial"/>
        <w:color w:val="003047"/>
        <w:sz w:val="20"/>
        <w:szCs w:val="20"/>
      </w:rPr>
    </w:pPr>
    <w:r>
      <w:rPr>
        <w:noProof/>
        <w:lang w:val="de-DE" w:eastAsia="de-DE"/>
      </w:rPr>
      <w:drawing>
        <wp:anchor distT="0" distB="0" distL="114300" distR="114300" simplePos="0" relativeHeight="251657216" behindDoc="1" locked="0" layoutInCell="1" allowOverlap="1" wp14:anchorId="2EBBC05E" wp14:editId="73CF94EF">
          <wp:simplePos x="0" y="0"/>
          <wp:positionH relativeFrom="page">
            <wp:posOffset>0</wp:posOffset>
          </wp:positionH>
          <wp:positionV relativeFrom="page">
            <wp:posOffset>9105738</wp:posOffset>
          </wp:positionV>
          <wp:extent cx="7561580" cy="636905"/>
          <wp:effectExtent l="0" t="0" r="127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636905"/>
                  </a:xfrm>
                  <a:prstGeom prst="rect">
                    <a:avLst/>
                  </a:prstGeom>
                  <a:noFill/>
                </pic:spPr>
              </pic:pic>
            </a:graphicData>
          </a:graphic>
          <wp14:sizeRelH relativeFrom="page">
            <wp14:pctWidth>0</wp14:pctWidth>
          </wp14:sizeRelH>
          <wp14:sizeRelV relativeFrom="page">
            <wp14:pctHeight>0</wp14:pctHeight>
          </wp14:sizeRelV>
        </wp:anchor>
      </w:drawing>
    </w:r>
    <w:r w:rsidR="006607D8">
      <w:rPr>
        <w:noProof/>
        <w:lang w:val="de-DE" w:eastAsia="de-DE"/>
      </w:rPr>
      <w:drawing>
        <wp:anchor distT="0" distB="0" distL="114300" distR="114300" simplePos="0" relativeHeight="251659264" behindDoc="1" locked="0" layoutInCell="1" allowOverlap="1" wp14:anchorId="6F1BC78A" wp14:editId="17C2FEF5">
          <wp:simplePos x="0" y="0"/>
          <wp:positionH relativeFrom="page">
            <wp:posOffset>712632</wp:posOffset>
          </wp:positionH>
          <wp:positionV relativeFrom="page">
            <wp:posOffset>9741535</wp:posOffset>
          </wp:positionV>
          <wp:extent cx="2512695" cy="575945"/>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2695" cy="5759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570" w:rsidRDefault="00921570" w:rsidP="00921570">
    <w:pPr>
      <w:pStyle w:val="Kopfzeile"/>
    </w:pPr>
    <w:r w:rsidRPr="000D5255">
      <w:rPr>
        <w:sz w:val="20"/>
        <w:szCs w:val="20"/>
      </w:rPr>
      <w:t>WSB 29/5.10/2</w:t>
    </w:r>
    <w:r>
      <w:rPr>
        <w:sz w:val="20"/>
        <w:szCs w:val="20"/>
      </w:rPr>
      <w:t xml:space="preserve"> </w:t>
    </w:r>
    <w:r w:rsidRPr="000D5255">
      <w:rPr>
        <w:sz w:val="20"/>
        <w:szCs w:val="20"/>
      </w:rPr>
      <w:t xml:space="preserve">Trilateral Education Work </w:t>
    </w:r>
    <w:proofErr w:type="spellStart"/>
    <w:r w:rsidRPr="000D5255">
      <w:rPr>
        <w:sz w:val="20"/>
        <w:szCs w:val="20"/>
      </w:rPr>
      <w:t>Programme</w:t>
    </w:r>
    <w:proofErr w:type="spellEnd"/>
  </w:p>
  <w:p w:rsidR="009F5511" w:rsidRDefault="009F55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15:restartNumberingAfterBreak="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15:restartNumberingAfterBreak="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15:restartNumberingAfterBreak="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15:restartNumberingAfterBreak="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D5255"/>
    <w:rsid w:val="000E250B"/>
    <w:rsid w:val="000E286C"/>
    <w:rsid w:val="000E7117"/>
    <w:rsid w:val="000F0E64"/>
    <w:rsid w:val="000F37B1"/>
    <w:rsid w:val="00147A4E"/>
    <w:rsid w:val="0017526A"/>
    <w:rsid w:val="001759B8"/>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268D8"/>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607D8"/>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0206"/>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1570"/>
    <w:rsid w:val="00925EF4"/>
    <w:rsid w:val="0094113A"/>
    <w:rsid w:val="00950873"/>
    <w:rsid w:val="009517FA"/>
    <w:rsid w:val="00965C3E"/>
    <w:rsid w:val="00966DD7"/>
    <w:rsid w:val="009719CA"/>
    <w:rsid w:val="00973022"/>
    <w:rsid w:val="00975C6B"/>
    <w:rsid w:val="00982C8B"/>
    <w:rsid w:val="009A2079"/>
    <w:rsid w:val="009B54B3"/>
    <w:rsid w:val="009D01E2"/>
    <w:rsid w:val="009D105B"/>
    <w:rsid w:val="009D6A3D"/>
    <w:rsid w:val="009E6684"/>
    <w:rsid w:val="009E7C2C"/>
    <w:rsid w:val="009F331C"/>
    <w:rsid w:val="009F5511"/>
    <w:rsid w:val="00A1036A"/>
    <w:rsid w:val="00A12765"/>
    <w:rsid w:val="00A13D27"/>
    <w:rsid w:val="00A20BC6"/>
    <w:rsid w:val="00A47D81"/>
    <w:rsid w:val="00A55A4E"/>
    <w:rsid w:val="00A80F47"/>
    <w:rsid w:val="00A8235D"/>
    <w:rsid w:val="00A86C28"/>
    <w:rsid w:val="00A875C8"/>
    <w:rsid w:val="00A915FB"/>
    <w:rsid w:val="00AC2926"/>
    <w:rsid w:val="00AE651C"/>
    <w:rsid w:val="00AF263A"/>
    <w:rsid w:val="00B07A4C"/>
    <w:rsid w:val="00B1013D"/>
    <w:rsid w:val="00B1024D"/>
    <w:rsid w:val="00B15106"/>
    <w:rsid w:val="00B45E4C"/>
    <w:rsid w:val="00B478AA"/>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06D60"/>
    <w:rsid w:val="00D10487"/>
    <w:rsid w:val="00D20DC9"/>
    <w:rsid w:val="00D37A59"/>
    <w:rsid w:val="00D541BC"/>
    <w:rsid w:val="00D714D5"/>
    <w:rsid w:val="00D71C4A"/>
    <w:rsid w:val="00D77486"/>
    <w:rsid w:val="00D82250"/>
    <w:rsid w:val="00D90053"/>
    <w:rsid w:val="00DA566F"/>
    <w:rsid w:val="00DC3627"/>
    <w:rsid w:val="00DC549B"/>
    <w:rsid w:val="00DC5EAB"/>
    <w:rsid w:val="00DE4522"/>
    <w:rsid w:val="00DF0781"/>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B608B"/>
    <w:rsid w:val="00EC0CDB"/>
    <w:rsid w:val="00EC431E"/>
    <w:rsid w:val="00EC5696"/>
    <w:rsid w:val="00EE23C0"/>
    <w:rsid w:val="00EE25B5"/>
    <w:rsid w:val="00EF1778"/>
    <w:rsid w:val="00F05116"/>
    <w:rsid w:val="00F40233"/>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5708CF4"/>
  <w15:docId w15:val="{6C83BEEA-51C3-4593-A07E-757416540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FuzeileZchn">
    <w:name w:val="Fußzeile Zchn"/>
    <w:basedOn w:val="Absatz-Standardschriftart"/>
    <w:link w:val="Fuzeile"/>
    <w:uiPriority w:val="99"/>
    <w:rsid w:val="006607D8"/>
    <w:rPr>
      <w:sz w:val="24"/>
      <w:szCs w:val="24"/>
      <w:lang w:val="en-US" w:eastAsia="en-US"/>
    </w:rPr>
  </w:style>
  <w:style w:type="character" w:styleId="Fett">
    <w:name w:val="Strong"/>
    <w:basedOn w:val="Absatz-Standardschriftart"/>
    <w:uiPriority w:val="22"/>
    <w:qFormat/>
    <w:rsid w:val="000D5255"/>
    <w:rPr>
      <w:b/>
      <w:bCs/>
    </w:rPr>
  </w:style>
  <w:style w:type="paragraph" w:styleId="StandardWeb">
    <w:name w:val="Normal (Web)"/>
    <w:basedOn w:val="Standard"/>
    <w:uiPriority w:val="99"/>
    <w:semiHidden/>
    <w:unhideWhenUsed/>
    <w:rsid w:val="000D5255"/>
    <w:pPr>
      <w:spacing w:before="100" w:beforeAutospacing="1" w:after="100" w:afterAutospacing="1"/>
    </w:pPr>
    <w:rPr>
      <w:rFonts w:ascii="Times" w:eastAsiaTheme="minorEastAsia" w:hAnsi="Times"/>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580248">
      <w:bodyDiv w:val="1"/>
      <w:marLeft w:val="0"/>
      <w:marRight w:val="0"/>
      <w:marTop w:val="0"/>
      <w:marBottom w:val="0"/>
      <w:divBdr>
        <w:top w:val="none" w:sz="0" w:space="0" w:color="auto"/>
        <w:left w:val="none" w:sz="0" w:space="0" w:color="auto"/>
        <w:bottom w:val="none" w:sz="0" w:space="0" w:color="auto"/>
        <w:right w:val="none" w:sz="0" w:space="0" w:color="auto"/>
      </w:divBdr>
    </w:div>
    <w:div w:id="74622367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930702428">
      <w:bodyDiv w:val="1"/>
      <w:marLeft w:val="0"/>
      <w:marRight w:val="0"/>
      <w:marTop w:val="0"/>
      <w:marBottom w:val="0"/>
      <w:divBdr>
        <w:top w:val="none" w:sz="0" w:space="0" w:color="auto"/>
        <w:left w:val="none" w:sz="0" w:space="0" w:color="auto"/>
        <w:bottom w:val="none" w:sz="0" w:space="0" w:color="auto"/>
        <w:right w:val="none" w:sz="0" w:space="0" w:color="auto"/>
      </w:divBdr>
    </w:div>
    <w:div w:id="1006596602">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wss.org/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0078B6"/>
      </a:hlink>
      <a:folHlink>
        <a:srgbClr val="00B7E5"/>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0CB4A-5B3A-4447-98CF-A359BA40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9</cp:revision>
  <cp:lastPrinted>2013-09-25T14:30:00Z</cp:lastPrinted>
  <dcterms:created xsi:type="dcterms:W3CDTF">2019-05-29T09:52:00Z</dcterms:created>
  <dcterms:modified xsi:type="dcterms:W3CDTF">2019-06-12T15:34:00Z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