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4F3C"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559495E7" wp14:editId="4047A77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E9D8DC9" w14:textId="1E6243E1" w:rsidR="003268D8" w:rsidRPr="006607D8" w:rsidRDefault="001C2108"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w:t>
      </w:r>
      <w:proofErr w:type="spellStart"/>
      <w:r>
        <w:rPr>
          <w:rFonts w:ascii="Arial" w:eastAsiaTheme="minorHAnsi" w:hAnsi="Arial" w:cs="Arial"/>
          <w:b/>
          <w:szCs w:val="36"/>
          <w:lang w:val="en-GB"/>
        </w:rPr>
        <w:t>Swimway</w:t>
      </w:r>
      <w:proofErr w:type="spellEnd"/>
      <w:r w:rsidR="003268D8">
        <w:rPr>
          <w:rFonts w:ascii="Arial" w:eastAsiaTheme="minorHAnsi" w:hAnsi="Arial" w:cs="Arial"/>
          <w:b/>
          <w:szCs w:val="36"/>
          <w:lang w:val="en-GB"/>
        </w:rPr>
        <w:t xml:space="preserve"> (</w:t>
      </w:r>
      <w:r>
        <w:rPr>
          <w:rFonts w:ascii="Arial" w:eastAsiaTheme="minorHAnsi" w:hAnsi="Arial" w:cs="Arial"/>
          <w:b/>
          <w:szCs w:val="36"/>
          <w:lang w:val="en-GB"/>
        </w:rPr>
        <w:t>EG-</w:t>
      </w:r>
      <w:proofErr w:type="spellStart"/>
      <w:r>
        <w:rPr>
          <w:rFonts w:ascii="Arial" w:eastAsiaTheme="minorHAnsi" w:hAnsi="Arial" w:cs="Arial"/>
          <w:b/>
          <w:szCs w:val="36"/>
          <w:lang w:val="en-GB"/>
        </w:rPr>
        <w:t>Swimway</w:t>
      </w:r>
      <w:proofErr w:type="spellEnd"/>
      <w:r>
        <w:rPr>
          <w:rFonts w:ascii="Arial" w:eastAsiaTheme="minorHAnsi" w:hAnsi="Arial" w:cs="Arial"/>
          <w:b/>
          <w:szCs w:val="36"/>
          <w:lang w:val="en-GB"/>
        </w:rPr>
        <w:t xml:space="preserve"> 21-1</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1D551B75" w14:textId="04920B5F" w:rsidR="003268D8" w:rsidRPr="00C133E0" w:rsidRDefault="001C2108"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w:t>
      </w:r>
      <w:r w:rsidR="003268D8" w:rsidRPr="00C133E0">
        <w:rPr>
          <w:rFonts w:ascii="Georgia" w:eastAsia="Batang" w:hAnsi="Georgia"/>
          <w:sz w:val="20"/>
          <w:szCs w:val="20"/>
          <w:lang w:val="en-GB" w:eastAsia="ko-KR"/>
        </w:rPr>
        <w:t xml:space="preserve"> </w:t>
      </w:r>
      <w:r w:rsidR="00495F8E" w:rsidRPr="00C133E0">
        <w:rPr>
          <w:rFonts w:ascii="Georgia" w:eastAsia="Batang" w:hAnsi="Georgia"/>
          <w:sz w:val="20"/>
          <w:szCs w:val="20"/>
          <w:lang w:val="en-GB" w:eastAsia="ko-KR"/>
        </w:rPr>
        <w:t>November 20</w:t>
      </w:r>
      <w:r>
        <w:rPr>
          <w:rFonts w:ascii="Georgia" w:eastAsia="Batang" w:hAnsi="Georgia"/>
          <w:sz w:val="20"/>
          <w:szCs w:val="20"/>
          <w:lang w:val="en-GB" w:eastAsia="ko-KR"/>
        </w:rPr>
        <w:t>21</w:t>
      </w:r>
    </w:p>
    <w:p w14:paraId="650B1D43" w14:textId="77777777" w:rsidR="003268D8" w:rsidRPr="00C133E0" w:rsidRDefault="00495F8E" w:rsidP="003268D8">
      <w:pPr>
        <w:spacing w:after="200" w:line="276" w:lineRule="auto"/>
        <w:contextualSpacing/>
        <w:jc w:val="center"/>
        <w:rPr>
          <w:rFonts w:ascii="Georgia" w:eastAsia="Batang" w:hAnsi="Georgia"/>
          <w:sz w:val="20"/>
          <w:szCs w:val="20"/>
          <w:lang w:val="en-GB" w:eastAsia="ko-KR"/>
        </w:rPr>
      </w:pPr>
      <w:r w:rsidRPr="00C133E0">
        <w:rPr>
          <w:rFonts w:ascii="Georgia" w:eastAsia="Batang" w:hAnsi="Georgia"/>
          <w:sz w:val="20"/>
          <w:szCs w:val="20"/>
          <w:lang w:val="en-GB" w:eastAsia="ko-KR"/>
        </w:rPr>
        <w:t>Wilhelmshaven</w:t>
      </w:r>
      <w:r w:rsidR="003268D8" w:rsidRPr="00C133E0">
        <w:rPr>
          <w:rFonts w:ascii="Georgia" w:eastAsia="Batang" w:hAnsi="Georgia"/>
          <w:sz w:val="20"/>
          <w:szCs w:val="20"/>
          <w:lang w:val="en-GB" w:eastAsia="ko-KR"/>
        </w:rPr>
        <w:t>, Germany</w:t>
      </w:r>
    </w:p>
    <w:p w14:paraId="766E714C" w14:textId="77777777" w:rsidR="003D6D11" w:rsidRDefault="003D6D11" w:rsidP="00884A64">
      <w:pPr>
        <w:pBdr>
          <w:bottom w:val="single" w:sz="6" w:space="1" w:color="auto"/>
        </w:pBdr>
        <w:spacing w:after="120" w:line="276" w:lineRule="auto"/>
        <w:rPr>
          <w:sz w:val="20"/>
          <w:szCs w:val="20"/>
          <w:lang w:val="en-GB"/>
        </w:rPr>
      </w:pPr>
    </w:p>
    <w:p w14:paraId="05FD6846" w14:textId="77777777" w:rsidR="00884A64" w:rsidRDefault="00884A64" w:rsidP="00884A64">
      <w:pPr>
        <w:pBdr>
          <w:bottom w:val="single" w:sz="6" w:space="1" w:color="auto"/>
        </w:pBdr>
        <w:spacing w:after="120" w:line="276" w:lineRule="auto"/>
        <w:rPr>
          <w:sz w:val="20"/>
          <w:szCs w:val="20"/>
          <w:lang w:val="en-GB"/>
        </w:rPr>
      </w:pPr>
    </w:p>
    <w:p w14:paraId="6595FC0D"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45F36885" w14:textId="78A71341"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856BB2">
        <w:rPr>
          <w:rFonts w:ascii="Georgia" w:hAnsi="Georgia"/>
          <w:b/>
          <w:sz w:val="20"/>
          <w:szCs w:val="22"/>
          <w:lang w:val="en-GB"/>
        </w:rPr>
        <w:t>3 SWIMWAY trilateral</w:t>
      </w:r>
    </w:p>
    <w:p w14:paraId="25FDA271" w14:textId="41144BEC"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856BB2">
        <w:rPr>
          <w:rFonts w:ascii="Georgia" w:hAnsi="Georgia"/>
          <w:b/>
          <w:sz w:val="20"/>
          <w:szCs w:val="22"/>
          <w:lang w:val="en-GB"/>
        </w:rPr>
        <w:t>Overview on SWIMWAY in trilateral set-up</w:t>
      </w:r>
    </w:p>
    <w:p w14:paraId="0E4D80A7" w14:textId="5D67BEC5"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1C2108">
        <w:rPr>
          <w:rFonts w:ascii="Georgia" w:hAnsi="Georgia"/>
          <w:sz w:val="20"/>
          <w:szCs w:val="22"/>
          <w:lang w:val="en-GB"/>
        </w:rPr>
        <w:t>EG-</w:t>
      </w:r>
      <w:proofErr w:type="spellStart"/>
      <w:r w:rsidR="001C2108">
        <w:rPr>
          <w:rFonts w:ascii="Georgia" w:hAnsi="Georgia"/>
          <w:sz w:val="20"/>
          <w:szCs w:val="22"/>
          <w:lang w:val="en-GB"/>
        </w:rPr>
        <w:t>Swimway</w:t>
      </w:r>
      <w:proofErr w:type="spellEnd"/>
      <w:r w:rsidR="001C2108">
        <w:rPr>
          <w:rFonts w:ascii="Georgia" w:hAnsi="Georgia"/>
          <w:sz w:val="20"/>
          <w:szCs w:val="22"/>
          <w:lang w:val="en-GB"/>
        </w:rPr>
        <w:t xml:space="preserve"> 21-1</w:t>
      </w:r>
      <w:r w:rsidR="00E05DFD" w:rsidRPr="003C34F6">
        <w:rPr>
          <w:rFonts w:ascii="Georgia" w:hAnsi="Georgia"/>
          <w:sz w:val="20"/>
          <w:szCs w:val="22"/>
          <w:lang w:val="en-GB"/>
        </w:rPr>
        <w:t>/</w:t>
      </w:r>
      <w:r w:rsidR="008D0EFB">
        <w:rPr>
          <w:rFonts w:ascii="Georgia" w:hAnsi="Georgia"/>
          <w:sz w:val="20"/>
          <w:szCs w:val="22"/>
          <w:lang w:val="en-GB"/>
        </w:rPr>
        <w:t>3</w:t>
      </w:r>
    </w:p>
    <w:p w14:paraId="4E4D319A" w14:textId="77BEC5A0"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8D0EFB">
        <w:rPr>
          <w:rFonts w:ascii="Georgia" w:hAnsi="Georgia"/>
          <w:sz w:val="20"/>
          <w:szCs w:val="22"/>
          <w:lang w:val="en-GB"/>
        </w:rPr>
        <w:t>5</w:t>
      </w:r>
      <w:r w:rsidR="001C2108">
        <w:rPr>
          <w:rFonts w:ascii="Georgia" w:hAnsi="Georgia"/>
          <w:sz w:val="20"/>
          <w:szCs w:val="22"/>
          <w:lang w:val="en-GB"/>
        </w:rPr>
        <w:t xml:space="preserve"> November 2021</w:t>
      </w:r>
    </w:p>
    <w:p w14:paraId="0274BDDC" w14:textId="186A867C"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8D0EFB">
        <w:rPr>
          <w:rFonts w:ascii="Georgia" w:hAnsi="Georgia"/>
          <w:b/>
          <w:sz w:val="20"/>
          <w:szCs w:val="22"/>
          <w:lang w:val="en-GB"/>
        </w:rPr>
        <w:t>CWSS</w:t>
      </w:r>
    </w:p>
    <w:p w14:paraId="53A45D63"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0A090C30" w14:textId="5634F45B" w:rsidR="008D0EFB" w:rsidRDefault="008D0EFB" w:rsidP="006607D8">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an overview on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SWIMWAY in the </w:t>
      </w:r>
      <w:bookmarkStart w:id="0" w:name="_Hlk86997295"/>
      <w:r>
        <w:rPr>
          <w:rFonts w:ascii="Georgia" w:hAnsi="Georgia"/>
          <w:sz w:val="20"/>
          <w:szCs w:val="22"/>
          <w:lang w:val="en-GB" w:eastAsia="de-DE"/>
        </w:rPr>
        <w:t xml:space="preserve">Trilateral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Cooperation (TWSC) </w:t>
      </w:r>
      <w:bookmarkEnd w:id="0"/>
      <w:r>
        <w:rPr>
          <w:rFonts w:ascii="Georgia" w:hAnsi="Georgia"/>
          <w:sz w:val="20"/>
          <w:szCs w:val="22"/>
          <w:lang w:val="en-GB" w:eastAsia="de-DE"/>
        </w:rPr>
        <w:t>set-up with</w:t>
      </w:r>
    </w:p>
    <w:p w14:paraId="488F25C5" w14:textId="61EF8CAF" w:rsidR="008D0EFB" w:rsidRDefault="008D0EFB" w:rsidP="008D0EFB">
      <w:pPr>
        <w:pStyle w:val="Header"/>
        <w:numPr>
          <w:ilvl w:val="0"/>
          <w:numId w:val="28"/>
        </w:numP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A quick view on the o</w:t>
      </w:r>
      <w:r w:rsidRPr="008D0EFB">
        <w:rPr>
          <w:rFonts w:ascii="Georgia" w:hAnsi="Georgia"/>
          <w:sz w:val="20"/>
          <w:szCs w:val="22"/>
          <w:lang w:val="en-GB" w:eastAsia="de-DE"/>
        </w:rPr>
        <w:t xml:space="preserve">rganisational structure of the </w:t>
      </w:r>
      <w:r>
        <w:rPr>
          <w:rFonts w:ascii="Georgia" w:hAnsi="Georgia"/>
          <w:sz w:val="20"/>
          <w:szCs w:val="22"/>
          <w:lang w:val="en-GB" w:eastAsia="de-DE"/>
        </w:rPr>
        <w:t>TWSC and expert groups</w:t>
      </w:r>
    </w:p>
    <w:p w14:paraId="3DF4EFDD" w14:textId="3F024F42" w:rsidR="008D0EFB" w:rsidRDefault="008D0EFB" w:rsidP="008D0EFB">
      <w:pPr>
        <w:pStyle w:val="Header"/>
        <w:numPr>
          <w:ilvl w:val="0"/>
          <w:numId w:val="28"/>
        </w:numP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List of key documents for EG-</w:t>
      </w:r>
      <w:proofErr w:type="spellStart"/>
      <w:r>
        <w:rPr>
          <w:rFonts w:ascii="Georgia" w:hAnsi="Georgia"/>
          <w:sz w:val="20"/>
          <w:szCs w:val="22"/>
          <w:lang w:val="en-GB" w:eastAsia="de-DE"/>
        </w:rPr>
        <w:t>Swimway</w:t>
      </w:r>
      <w:proofErr w:type="spellEnd"/>
      <w:r>
        <w:rPr>
          <w:rFonts w:ascii="Georgia" w:hAnsi="Georgia"/>
          <w:sz w:val="20"/>
          <w:szCs w:val="22"/>
          <w:lang w:val="en-GB" w:eastAsia="de-DE"/>
        </w:rPr>
        <w:t xml:space="preserve"> (Leeuwarden </w:t>
      </w:r>
      <w:proofErr w:type="spellStart"/>
      <w:r>
        <w:rPr>
          <w:rFonts w:ascii="Georgia" w:hAnsi="Georgia"/>
          <w:sz w:val="20"/>
          <w:szCs w:val="22"/>
          <w:lang w:val="en-GB" w:eastAsia="de-DE"/>
        </w:rPr>
        <w:t>Declearation</w:t>
      </w:r>
      <w:proofErr w:type="spellEnd"/>
      <w:r>
        <w:rPr>
          <w:rFonts w:ascii="Georgia" w:hAnsi="Georgia"/>
          <w:sz w:val="20"/>
          <w:szCs w:val="22"/>
          <w:lang w:val="en-GB" w:eastAsia="de-DE"/>
        </w:rPr>
        <w:t xml:space="preserve">, </w:t>
      </w:r>
      <w:proofErr w:type="spellStart"/>
      <w:r>
        <w:rPr>
          <w:rFonts w:ascii="Georgia" w:hAnsi="Georgia"/>
          <w:sz w:val="20"/>
          <w:szCs w:val="22"/>
          <w:lang w:val="en-GB" w:eastAsia="de-DE"/>
        </w:rPr>
        <w:t>Wadden</w:t>
      </w:r>
      <w:proofErr w:type="spellEnd"/>
      <w:r>
        <w:rPr>
          <w:rFonts w:ascii="Georgia" w:hAnsi="Georgia"/>
          <w:sz w:val="20"/>
          <w:szCs w:val="22"/>
          <w:lang w:val="en-GB" w:eastAsia="de-DE"/>
        </w:rPr>
        <w:t xml:space="preserve"> Sea Plan and QSR with Fish Targets, </w:t>
      </w:r>
      <w:r w:rsidRPr="008D0EFB">
        <w:rPr>
          <w:rFonts w:ascii="Georgia" w:hAnsi="Georgia"/>
          <w:sz w:val="20"/>
          <w:szCs w:val="22"/>
          <w:lang w:val="en-GB" w:eastAsia="de-DE"/>
        </w:rPr>
        <w:t xml:space="preserve">Trilateral </w:t>
      </w:r>
      <w:proofErr w:type="spellStart"/>
      <w:r w:rsidRPr="008D0EFB">
        <w:rPr>
          <w:rFonts w:ascii="Georgia" w:hAnsi="Georgia"/>
          <w:sz w:val="20"/>
          <w:szCs w:val="22"/>
          <w:lang w:val="en-GB" w:eastAsia="de-DE"/>
        </w:rPr>
        <w:t>Wadden</w:t>
      </w:r>
      <w:proofErr w:type="spellEnd"/>
      <w:r w:rsidRPr="008D0EFB">
        <w:rPr>
          <w:rFonts w:ascii="Georgia" w:hAnsi="Georgia"/>
          <w:sz w:val="20"/>
          <w:szCs w:val="22"/>
          <w:lang w:val="en-GB" w:eastAsia="de-DE"/>
        </w:rPr>
        <w:t xml:space="preserve"> Sea </w:t>
      </w:r>
      <w:proofErr w:type="spellStart"/>
      <w:r w:rsidRPr="008D0EFB">
        <w:rPr>
          <w:rFonts w:ascii="Georgia" w:hAnsi="Georgia"/>
          <w:sz w:val="20"/>
          <w:szCs w:val="22"/>
          <w:lang w:val="en-GB" w:eastAsia="de-DE"/>
        </w:rPr>
        <w:t>Swimway</w:t>
      </w:r>
      <w:proofErr w:type="spellEnd"/>
      <w:r w:rsidRPr="008D0EFB">
        <w:rPr>
          <w:rFonts w:ascii="Georgia" w:hAnsi="Georgia"/>
          <w:sz w:val="20"/>
          <w:szCs w:val="22"/>
          <w:lang w:val="en-GB" w:eastAsia="de-DE"/>
        </w:rPr>
        <w:t xml:space="preserve"> Vision Action Programme</w:t>
      </w:r>
      <w:r>
        <w:rPr>
          <w:rFonts w:ascii="Georgia" w:hAnsi="Georgia"/>
          <w:sz w:val="20"/>
          <w:szCs w:val="22"/>
          <w:lang w:val="en-GB" w:eastAsia="de-DE"/>
        </w:rPr>
        <w:t>)</w:t>
      </w:r>
    </w:p>
    <w:p w14:paraId="56A77F20" w14:textId="67FBDFEF" w:rsidR="008D0EFB" w:rsidRPr="00C133E0" w:rsidRDefault="008D0EFB" w:rsidP="008D0EFB">
      <w:pPr>
        <w:pStyle w:val="Header"/>
        <w:numPr>
          <w:ilvl w:val="0"/>
          <w:numId w:val="28"/>
        </w:numP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Terms of Reference EG-</w:t>
      </w:r>
      <w:proofErr w:type="spellStart"/>
      <w:r>
        <w:rPr>
          <w:rFonts w:ascii="Georgia" w:hAnsi="Georgia"/>
          <w:sz w:val="20"/>
          <w:szCs w:val="22"/>
          <w:lang w:val="en-GB" w:eastAsia="de-DE"/>
        </w:rPr>
        <w:t>Swimway</w:t>
      </w:r>
      <w:proofErr w:type="spellEnd"/>
      <w:r>
        <w:rPr>
          <w:rFonts w:ascii="Georgia" w:hAnsi="Georgia"/>
          <w:sz w:val="20"/>
          <w:szCs w:val="22"/>
          <w:lang w:val="en-GB" w:eastAsia="de-DE"/>
        </w:rPr>
        <w:t xml:space="preserve"> (Annex 1)</w:t>
      </w:r>
    </w:p>
    <w:p w14:paraId="7B45D8D7"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419CA239" w14:textId="77777777"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004EE5" w:rsidRPr="00C133E0">
        <w:rPr>
          <w:rFonts w:ascii="Georgia" w:hAnsi="Georgia"/>
          <w:sz w:val="22"/>
          <w:szCs w:val="22"/>
          <w:lang w:val="en-GB"/>
        </w:rPr>
        <w:t xml:space="preserve">The meeting is </w:t>
      </w:r>
      <w:r w:rsidR="00495F8E" w:rsidRPr="00C133E0">
        <w:rPr>
          <w:rFonts w:ascii="Georgia" w:hAnsi="Georgia"/>
          <w:sz w:val="22"/>
          <w:szCs w:val="22"/>
          <w:lang w:val="en-GB"/>
        </w:rPr>
        <w:t>invited to note the document.</w:t>
      </w:r>
    </w:p>
    <w:p w14:paraId="310830C3" w14:textId="77777777" w:rsidR="00615200" w:rsidRPr="00C133E0" w:rsidRDefault="001C042F" w:rsidP="00884A64">
      <w:pPr>
        <w:spacing w:after="120" w:line="276" w:lineRule="auto"/>
        <w:rPr>
          <w:rFonts w:ascii="Georgia" w:hAnsi="Georgia"/>
          <w:sz w:val="22"/>
          <w:szCs w:val="22"/>
        </w:rPr>
      </w:pPr>
      <w:r w:rsidRPr="00C133E0">
        <w:rPr>
          <w:rFonts w:ascii="Georgia" w:hAnsi="Georgia" w:cs="Arial"/>
        </w:rPr>
        <w:br w:type="page"/>
      </w:r>
    </w:p>
    <w:p w14:paraId="4513E4B1" w14:textId="2E370237" w:rsidR="00856BB2" w:rsidRDefault="00856BB2" w:rsidP="000E074C">
      <w:pPr>
        <w:pStyle w:val="Heading2"/>
        <w:rPr>
          <w:b w:val="0"/>
          <w:sz w:val="28"/>
        </w:rPr>
      </w:pPr>
      <w:r w:rsidRPr="00856BB2">
        <w:rPr>
          <w:b w:val="0"/>
          <w:sz w:val="28"/>
        </w:rPr>
        <w:lastRenderedPageBreak/>
        <w:t xml:space="preserve">Overview on SWIMWAY </w:t>
      </w:r>
      <w:r w:rsidR="008D0EFB" w:rsidRPr="008D0EFB">
        <w:rPr>
          <w:b w:val="0"/>
          <w:sz w:val="28"/>
        </w:rPr>
        <w:t xml:space="preserve">Trilateral </w:t>
      </w:r>
      <w:proofErr w:type="spellStart"/>
      <w:r w:rsidR="008D0EFB" w:rsidRPr="008D0EFB">
        <w:rPr>
          <w:b w:val="0"/>
          <w:sz w:val="28"/>
        </w:rPr>
        <w:t>Wadden</w:t>
      </w:r>
      <w:proofErr w:type="spellEnd"/>
      <w:r w:rsidR="008D0EFB" w:rsidRPr="008D0EFB">
        <w:rPr>
          <w:b w:val="0"/>
          <w:sz w:val="28"/>
        </w:rPr>
        <w:t xml:space="preserve"> Sea Cooperation (TWSC)</w:t>
      </w:r>
    </w:p>
    <w:p w14:paraId="65D237DE" w14:textId="0486DE89" w:rsidR="000E074C" w:rsidRPr="00892271" w:rsidRDefault="000E074C" w:rsidP="000E074C">
      <w:pPr>
        <w:pStyle w:val="Heading2"/>
      </w:pPr>
      <w:r>
        <w:t xml:space="preserve">Trilateral Expert Group </w:t>
      </w:r>
      <w:proofErr w:type="spellStart"/>
      <w:r>
        <w:t>Swimway</w:t>
      </w:r>
      <w:proofErr w:type="spellEnd"/>
    </w:p>
    <w:p w14:paraId="562F3A33" w14:textId="410C437A" w:rsidR="00856BB2" w:rsidRDefault="00856BB2" w:rsidP="000E074C">
      <w:pPr>
        <w:spacing w:after="200" w:line="276" w:lineRule="auto"/>
        <w:rPr>
          <w:rFonts w:ascii="Georgia" w:hAnsi="Georgia"/>
          <w:sz w:val="20"/>
          <w:szCs w:val="22"/>
        </w:rPr>
      </w:pPr>
      <w:r>
        <w:rPr>
          <w:rFonts w:ascii="Georgia" w:hAnsi="Georgia"/>
          <w:sz w:val="20"/>
          <w:szCs w:val="22"/>
        </w:rPr>
        <w:t>In 2019, an</w:t>
      </w:r>
      <w:r w:rsidRPr="00856BB2">
        <w:rPr>
          <w:rFonts w:ascii="Georgia" w:hAnsi="Georgia"/>
          <w:sz w:val="20"/>
          <w:szCs w:val="22"/>
        </w:rPr>
        <w:t xml:space="preserve"> ad hoc Working Group </w:t>
      </w:r>
      <w:proofErr w:type="spellStart"/>
      <w:r w:rsidRPr="00856BB2">
        <w:rPr>
          <w:rFonts w:ascii="Georgia" w:hAnsi="Georgia"/>
          <w:sz w:val="20"/>
          <w:szCs w:val="22"/>
        </w:rPr>
        <w:t>Swimway</w:t>
      </w:r>
      <w:proofErr w:type="spellEnd"/>
      <w:r w:rsidRPr="00856BB2">
        <w:rPr>
          <w:rFonts w:ascii="Georgia" w:hAnsi="Georgia"/>
          <w:sz w:val="20"/>
          <w:szCs w:val="22"/>
        </w:rPr>
        <w:t xml:space="preserve"> Vision Initiation (WG-</w:t>
      </w:r>
      <w:proofErr w:type="spellStart"/>
      <w:r w:rsidRPr="00856BB2">
        <w:rPr>
          <w:rFonts w:ascii="Georgia" w:hAnsi="Georgia"/>
          <w:sz w:val="20"/>
          <w:szCs w:val="22"/>
        </w:rPr>
        <w:t>Swimway</w:t>
      </w:r>
      <w:proofErr w:type="spellEnd"/>
      <w:r w:rsidRPr="00856BB2">
        <w:rPr>
          <w:rFonts w:ascii="Georgia" w:hAnsi="Georgia"/>
          <w:sz w:val="20"/>
          <w:szCs w:val="22"/>
        </w:rPr>
        <w:t>) was installed with the overarching objective to solve tasks which could lead to a formation of an Expert Group Fish</w:t>
      </w:r>
      <w:r>
        <w:rPr>
          <w:rFonts w:ascii="Georgia" w:hAnsi="Georgia"/>
          <w:sz w:val="20"/>
          <w:szCs w:val="22"/>
        </w:rPr>
        <w:t>.</w:t>
      </w:r>
    </w:p>
    <w:p w14:paraId="5963F14F" w14:textId="77BBE29C" w:rsidR="00856BB2" w:rsidRDefault="00856BB2" w:rsidP="000E074C">
      <w:pPr>
        <w:spacing w:after="200" w:line="276" w:lineRule="auto"/>
        <w:rPr>
          <w:rFonts w:ascii="Georgia" w:hAnsi="Georgia"/>
          <w:sz w:val="20"/>
          <w:szCs w:val="22"/>
        </w:rPr>
      </w:pPr>
      <w:r>
        <w:rPr>
          <w:rFonts w:ascii="Georgia" w:hAnsi="Georgia"/>
          <w:sz w:val="20"/>
          <w:szCs w:val="22"/>
        </w:rPr>
        <w:t xml:space="preserve">At the </w:t>
      </w:r>
      <w:proofErr w:type="spellStart"/>
      <w:r>
        <w:rPr>
          <w:rFonts w:ascii="Georgia" w:hAnsi="Georgia"/>
          <w:sz w:val="20"/>
          <w:szCs w:val="22"/>
        </w:rPr>
        <w:t>Wadden</w:t>
      </w:r>
      <w:proofErr w:type="spellEnd"/>
      <w:r>
        <w:rPr>
          <w:rFonts w:ascii="Georgia" w:hAnsi="Georgia"/>
          <w:sz w:val="20"/>
          <w:szCs w:val="22"/>
        </w:rPr>
        <w:t xml:space="preserve"> </w:t>
      </w:r>
      <w:proofErr w:type="gramStart"/>
      <w:r>
        <w:rPr>
          <w:rFonts w:ascii="Georgia" w:hAnsi="Georgia"/>
          <w:sz w:val="20"/>
          <w:szCs w:val="22"/>
        </w:rPr>
        <w:t>Sea Board</w:t>
      </w:r>
      <w:proofErr w:type="gramEnd"/>
      <w:r>
        <w:rPr>
          <w:rFonts w:ascii="Georgia" w:hAnsi="Georgia"/>
          <w:sz w:val="20"/>
          <w:szCs w:val="22"/>
        </w:rPr>
        <w:t xml:space="preserve"> meeting 32, an</w:t>
      </w:r>
      <w:r w:rsidR="000E074C">
        <w:rPr>
          <w:rFonts w:ascii="Georgia" w:hAnsi="Georgia"/>
          <w:sz w:val="20"/>
          <w:szCs w:val="22"/>
        </w:rPr>
        <w:t xml:space="preserve"> Expert Group was installed</w:t>
      </w:r>
      <w:r>
        <w:rPr>
          <w:rFonts w:ascii="Georgia" w:hAnsi="Georgia"/>
          <w:sz w:val="20"/>
          <w:szCs w:val="22"/>
        </w:rPr>
        <w:t xml:space="preserve"> with Terms of Reference for 2021 – 2024. </w:t>
      </w:r>
      <w:hyperlink r:id="rId9" w:history="1">
        <w:r w:rsidR="000E074C" w:rsidRPr="00856BB2">
          <w:rPr>
            <w:rStyle w:val="Hyperlink"/>
            <w:rFonts w:ascii="Georgia" w:hAnsi="Georgia"/>
            <w:sz w:val="20"/>
            <w:szCs w:val="22"/>
          </w:rPr>
          <w:t>WSB 32/5.2/3</w:t>
        </w:r>
        <w:r w:rsidRPr="00856BB2">
          <w:rPr>
            <w:rStyle w:val="Hyperlink"/>
            <w:rFonts w:ascii="Georgia" w:hAnsi="Georgia"/>
            <w:sz w:val="20"/>
            <w:szCs w:val="22"/>
          </w:rPr>
          <w:t xml:space="preserve"> Expert Group </w:t>
        </w:r>
        <w:proofErr w:type="spellStart"/>
        <w:r w:rsidRPr="00856BB2">
          <w:rPr>
            <w:rStyle w:val="Hyperlink"/>
            <w:rFonts w:ascii="Georgia" w:hAnsi="Georgia"/>
            <w:sz w:val="20"/>
            <w:szCs w:val="22"/>
          </w:rPr>
          <w:t>Swimway</w:t>
        </w:r>
        <w:proofErr w:type="spellEnd"/>
        <w:r w:rsidRPr="00856BB2">
          <w:rPr>
            <w:rStyle w:val="Hyperlink"/>
            <w:rFonts w:ascii="Georgia" w:hAnsi="Georgia"/>
            <w:sz w:val="20"/>
            <w:szCs w:val="22"/>
          </w:rPr>
          <w:t xml:space="preserve"> Draft Terms of Reference</w:t>
        </w:r>
      </w:hyperlink>
      <w:r>
        <w:rPr>
          <w:rFonts w:ascii="Georgia" w:hAnsi="Georgia"/>
          <w:sz w:val="20"/>
          <w:szCs w:val="22"/>
        </w:rPr>
        <w:t xml:space="preserve"> (Annex 1).</w:t>
      </w:r>
    </w:p>
    <w:p w14:paraId="7DF1703B" w14:textId="77777777" w:rsidR="008D0EFB" w:rsidRDefault="008D0EFB" w:rsidP="000E074C">
      <w:pPr>
        <w:spacing w:after="200" w:line="276" w:lineRule="auto"/>
        <w:rPr>
          <w:rFonts w:ascii="Georgia" w:hAnsi="Georgia"/>
          <w:sz w:val="20"/>
          <w:szCs w:val="22"/>
        </w:rPr>
      </w:pPr>
    </w:p>
    <w:p w14:paraId="6BA1C6D6" w14:textId="6A2D4328" w:rsidR="00F55CC4" w:rsidRPr="00892271" w:rsidRDefault="00F55CC4" w:rsidP="00F55CC4">
      <w:pPr>
        <w:pStyle w:val="Heading2"/>
      </w:pPr>
      <w:r>
        <w:t xml:space="preserve">Trilateral </w:t>
      </w:r>
      <w:proofErr w:type="spellStart"/>
      <w:r>
        <w:t>Wadden</w:t>
      </w:r>
      <w:proofErr w:type="spellEnd"/>
      <w:r>
        <w:t xml:space="preserve"> Sea Cooperation (TWSC)</w:t>
      </w:r>
    </w:p>
    <w:p w14:paraId="3855EE0A" w14:textId="77777777" w:rsidR="00F55CC4" w:rsidRPr="00892271" w:rsidRDefault="00F55CC4" w:rsidP="00F55CC4">
      <w:pPr>
        <w:pStyle w:val="BodyText1"/>
      </w:pPr>
      <w:r w:rsidRPr="00892271">
        <w:t xml:space="preserve">Since 1978, Denmark, Germany and the Netherlands have been cooperating to protect the </w:t>
      </w:r>
      <w:proofErr w:type="spellStart"/>
      <w:r w:rsidRPr="00892271">
        <w:t>Wadden</w:t>
      </w:r>
      <w:proofErr w:type="spellEnd"/>
      <w:r w:rsidRPr="00892271">
        <w:t xml:space="preserve"> Sea as an ecological entity. The Guiding Principle of the Trilateral Cooperation on the Protection of the </w:t>
      </w:r>
      <w:proofErr w:type="spellStart"/>
      <w:r w:rsidRPr="00892271">
        <w:t>Wadden</w:t>
      </w:r>
      <w:proofErr w:type="spellEnd"/>
      <w:r w:rsidRPr="00892271">
        <w:t xml:space="preserve"> Sea, in short Trilateral </w:t>
      </w:r>
      <w:proofErr w:type="spellStart"/>
      <w:r w:rsidRPr="00892271">
        <w:t>Wadden</w:t>
      </w:r>
      <w:proofErr w:type="spellEnd"/>
      <w:r w:rsidRPr="00892271">
        <w:t xml:space="preserve"> Sea Cooperation (TWSC), is</w:t>
      </w:r>
    </w:p>
    <w:p w14:paraId="5399B77E" w14:textId="77777777" w:rsidR="00F55CC4" w:rsidRPr="00856BB2" w:rsidRDefault="00F55CC4" w:rsidP="00F55CC4">
      <w:pPr>
        <w:spacing w:after="200" w:line="276" w:lineRule="auto"/>
        <w:rPr>
          <w:rFonts w:ascii="Georgia" w:hAnsi="Georgia"/>
          <w:i/>
          <w:iCs/>
          <w:sz w:val="20"/>
          <w:szCs w:val="22"/>
        </w:rPr>
      </w:pPr>
      <w:r w:rsidRPr="00856BB2">
        <w:rPr>
          <w:rFonts w:ascii="Georgia" w:hAnsi="Georgia"/>
          <w:i/>
          <w:iCs/>
          <w:sz w:val="20"/>
          <w:szCs w:val="22"/>
        </w:rPr>
        <w:t xml:space="preserve">    “</w:t>
      </w:r>
      <w:proofErr w:type="gramStart"/>
      <w:r w:rsidRPr="00856BB2">
        <w:rPr>
          <w:rFonts w:ascii="Georgia" w:hAnsi="Georgia"/>
          <w:i/>
          <w:iCs/>
          <w:sz w:val="20"/>
          <w:szCs w:val="22"/>
        </w:rPr>
        <w:t>to</w:t>
      </w:r>
      <w:proofErr w:type="gramEnd"/>
      <w:r w:rsidRPr="00856BB2">
        <w:rPr>
          <w:rFonts w:ascii="Georgia" w:hAnsi="Georgia"/>
          <w:i/>
          <w:iCs/>
          <w:sz w:val="20"/>
          <w:szCs w:val="22"/>
        </w:rPr>
        <w:t xml:space="preserve"> achieve, as far as possible, a natural and sustainable ecosystem in which natural processes proceed in an undisturbed way”.</w:t>
      </w:r>
    </w:p>
    <w:p w14:paraId="345019DE" w14:textId="7E3CC9B8" w:rsidR="00856BB2" w:rsidRDefault="00856BB2" w:rsidP="00856BB2">
      <w:pPr>
        <w:spacing w:after="200" w:line="276" w:lineRule="auto"/>
        <w:rPr>
          <w:rFonts w:ascii="Georgia" w:hAnsi="Georgia"/>
          <w:sz w:val="20"/>
          <w:szCs w:val="22"/>
        </w:rPr>
      </w:pPr>
      <w:r w:rsidRPr="00856BB2">
        <w:rPr>
          <w:rFonts w:ascii="Georgia" w:hAnsi="Georgia"/>
          <w:sz w:val="20"/>
          <w:szCs w:val="22"/>
        </w:rPr>
        <w:t xml:space="preserve">The Trilateral </w:t>
      </w:r>
      <w:proofErr w:type="spellStart"/>
      <w:r w:rsidRPr="00856BB2">
        <w:rPr>
          <w:rFonts w:ascii="Georgia" w:hAnsi="Georgia"/>
          <w:sz w:val="20"/>
          <w:szCs w:val="22"/>
        </w:rPr>
        <w:t>Wadden</w:t>
      </w:r>
      <w:proofErr w:type="spellEnd"/>
      <w:r w:rsidRPr="00856BB2">
        <w:rPr>
          <w:rFonts w:ascii="Georgia" w:hAnsi="Georgia"/>
          <w:sz w:val="20"/>
          <w:szCs w:val="22"/>
        </w:rPr>
        <w:t xml:space="preserve"> Sea Cooperation comprises two levels of decision making: the Trilateral Governmental Council and the </w:t>
      </w:r>
      <w:proofErr w:type="spellStart"/>
      <w:r w:rsidRPr="00856BB2">
        <w:rPr>
          <w:rFonts w:ascii="Georgia" w:hAnsi="Georgia"/>
          <w:sz w:val="20"/>
          <w:szCs w:val="22"/>
        </w:rPr>
        <w:t>Wadden</w:t>
      </w:r>
      <w:proofErr w:type="spellEnd"/>
      <w:r w:rsidRPr="00856BB2">
        <w:rPr>
          <w:rFonts w:ascii="Georgia" w:hAnsi="Georgia"/>
          <w:sz w:val="20"/>
          <w:szCs w:val="22"/>
        </w:rPr>
        <w:t xml:space="preserve"> </w:t>
      </w:r>
      <w:proofErr w:type="gramStart"/>
      <w:r w:rsidRPr="00856BB2">
        <w:rPr>
          <w:rFonts w:ascii="Georgia" w:hAnsi="Georgia"/>
          <w:sz w:val="20"/>
          <w:szCs w:val="22"/>
        </w:rPr>
        <w:t>Sea Board</w:t>
      </w:r>
      <w:proofErr w:type="gramEnd"/>
      <w:r w:rsidRPr="00856BB2">
        <w:rPr>
          <w:rFonts w:ascii="Georgia" w:hAnsi="Georgia"/>
          <w:sz w:val="20"/>
          <w:szCs w:val="22"/>
        </w:rPr>
        <w:t xml:space="preserve"> (WSB). They are supported by the Common </w:t>
      </w:r>
      <w:proofErr w:type="spellStart"/>
      <w:r w:rsidRPr="00856BB2">
        <w:rPr>
          <w:rFonts w:ascii="Georgia" w:hAnsi="Georgia"/>
          <w:sz w:val="20"/>
          <w:szCs w:val="22"/>
        </w:rPr>
        <w:t>Wadden</w:t>
      </w:r>
      <w:proofErr w:type="spellEnd"/>
      <w:r w:rsidRPr="00856BB2">
        <w:rPr>
          <w:rFonts w:ascii="Georgia" w:hAnsi="Georgia"/>
          <w:sz w:val="20"/>
          <w:szCs w:val="22"/>
        </w:rPr>
        <w:t xml:space="preserve"> Sea Secretariat (CWSS) as the coordinating body and first contact point, advisors from NGOs, Task Groups as well as Expert Networking Groups</w:t>
      </w:r>
      <w:r>
        <w:rPr>
          <w:rFonts w:ascii="Georgia" w:hAnsi="Georgia"/>
          <w:sz w:val="20"/>
          <w:szCs w:val="22"/>
        </w:rPr>
        <w:t xml:space="preserve"> (Figure 1)</w:t>
      </w:r>
      <w:r w:rsidRPr="00856BB2">
        <w:rPr>
          <w:rFonts w:ascii="Georgia" w:hAnsi="Georgia"/>
          <w:sz w:val="20"/>
          <w:szCs w:val="22"/>
        </w:rPr>
        <w:t xml:space="preserve">. </w:t>
      </w:r>
    </w:p>
    <w:p w14:paraId="13ABE577" w14:textId="0F327DCF" w:rsidR="00856BB2" w:rsidRDefault="00856BB2" w:rsidP="00856BB2">
      <w:pPr>
        <w:spacing w:after="200" w:line="276" w:lineRule="auto"/>
        <w:rPr>
          <w:rFonts w:ascii="Georgia" w:hAnsi="Georgia"/>
          <w:sz w:val="20"/>
          <w:szCs w:val="22"/>
        </w:rPr>
      </w:pPr>
      <w:r>
        <w:rPr>
          <w:rFonts w:ascii="Georgia" w:hAnsi="Georgia"/>
          <w:sz w:val="20"/>
          <w:szCs w:val="22"/>
        </w:rPr>
        <w:t xml:space="preserve">Regarding Expert Groups, the following recommendations were </w:t>
      </w:r>
      <w:r w:rsidR="00836281">
        <w:rPr>
          <w:rFonts w:ascii="Georgia" w:hAnsi="Georgia"/>
          <w:sz w:val="20"/>
          <w:szCs w:val="22"/>
        </w:rPr>
        <w:t>drafted within a general TWSC review process, and presented a</w:t>
      </w:r>
      <w:r>
        <w:rPr>
          <w:rFonts w:ascii="Georgia" w:hAnsi="Georgia"/>
          <w:sz w:val="20"/>
          <w:szCs w:val="22"/>
        </w:rPr>
        <w:t xml:space="preserve">t the </w:t>
      </w:r>
      <w:r w:rsidR="00836281">
        <w:rPr>
          <w:rFonts w:ascii="Georgia" w:hAnsi="Georgia"/>
          <w:sz w:val="20"/>
          <w:szCs w:val="22"/>
        </w:rPr>
        <w:t>WSB</w:t>
      </w:r>
      <w:r>
        <w:rPr>
          <w:rFonts w:ascii="Georgia" w:hAnsi="Georgia"/>
          <w:sz w:val="20"/>
          <w:szCs w:val="22"/>
        </w:rPr>
        <w:t xml:space="preserve"> meeting 28 (</w:t>
      </w:r>
      <w:hyperlink r:id="rId10" w:history="1">
        <w:r w:rsidRPr="000051F4">
          <w:rPr>
            <w:rStyle w:val="Hyperlink"/>
            <w:rFonts w:ascii="Georgia" w:hAnsi="Georgia"/>
            <w:sz w:val="20"/>
            <w:szCs w:val="22"/>
          </w:rPr>
          <w:t>WSB 28/7/1.1 TWSC TOR</w:t>
        </w:r>
      </w:hyperlink>
      <w:r>
        <w:rPr>
          <w:rFonts w:ascii="Georgia" w:hAnsi="Georgia"/>
          <w:sz w:val="20"/>
          <w:szCs w:val="22"/>
        </w:rPr>
        <w:t>)</w:t>
      </w:r>
      <w:r w:rsidR="00836281">
        <w:rPr>
          <w:rFonts w:ascii="Georgia" w:hAnsi="Georgia"/>
          <w:sz w:val="20"/>
          <w:szCs w:val="22"/>
        </w:rPr>
        <w:t>:</w:t>
      </w:r>
    </w:p>
    <w:p w14:paraId="448ED37B" w14:textId="77777777" w:rsidR="00856BB2" w:rsidRPr="00E80972" w:rsidRDefault="00856BB2" w:rsidP="00856BB2">
      <w:pPr>
        <w:spacing w:after="200" w:line="276" w:lineRule="auto"/>
        <w:rPr>
          <w:rFonts w:ascii="Georgia" w:hAnsi="Georgia"/>
          <w:i/>
          <w:iCs/>
          <w:sz w:val="20"/>
          <w:szCs w:val="22"/>
        </w:rPr>
      </w:pPr>
      <w:r w:rsidRPr="00E80972">
        <w:rPr>
          <w:rFonts w:ascii="Georgia" w:hAnsi="Georgia"/>
          <w:i/>
          <w:iCs/>
          <w:sz w:val="20"/>
          <w:szCs w:val="22"/>
        </w:rPr>
        <w:t>Expert Groups are generally long-term or permanent technical groups – exceptions are allowed. They have operational and advising tasks and</w:t>
      </w:r>
    </w:p>
    <w:p w14:paraId="3653F9F0" w14:textId="1C5D8050" w:rsidR="00856BB2" w:rsidRPr="00836281" w:rsidRDefault="00856BB2" w:rsidP="00836281">
      <w:pPr>
        <w:pStyle w:val="ListParagraph"/>
        <w:numPr>
          <w:ilvl w:val="0"/>
          <w:numId w:val="25"/>
        </w:numPr>
        <w:rPr>
          <w:rFonts w:ascii="Georgia" w:hAnsi="Georgia"/>
          <w:i/>
          <w:iCs/>
          <w:sz w:val="20"/>
          <w:lang w:val="en-US"/>
        </w:rPr>
      </w:pPr>
      <w:r w:rsidRPr="00836281">
        <w:rPr>
          <w:rFonts w:ascii="Georgia" w:hAnsi="Georgia"/>
          <w:i/>
          <w:iCs/>
          <w:sz w:val="20"/>
          <w:lang w:val="en-US"/>
        </w:rPr>
        <w:t xml:space="preserve">report to the Common </w:t>
      </w:r>
      <w:proofErr w:type="spellStart"/>
      <w:r w:rsidRPr="00836281">
        <w:rPr>
          <w:rFonts w:ascii="Georgia" w:hAnsi="Georgia"/>
          <w:i/>
          <w:iCs/>
          <w:sz w:val="20"/>
          <w:lang w:val="en-US"/>
        </w:rPr>
        <w:t>Wadden</w:t>
      </w:r>
      <w:proofErr w:type="spellEnd"/>
      <w:r w:rsidRPr="00836281">
        <w:rPr>
          <w:rFonts w:ascii="Georgia" w:hAnsi="Georgia"/>
          <w:i/>
          <w:iCs/>
          <w:sz w:val="20"/>
          <w:lang w:val="en-US"/>
        </w:rPr>
        <w:t xml:space="preserve"> Sea Secretariat (CWSS) – WSB may allow exceptions; EGs are also connected or in some cases report to relevant </w:t>
      </w:r>
      <w:proofErr w:type="gramStart"/>
      <w:r w:rsidRPr="00836281">
        <w:rPr>
          <w:rFonts w:ascii="Georgia" w:hAnsi="Georgia"/>
          <w:i/>
          <w:iCs/>
          <w:sz w:val="20"/>
          <w:lang w:val="en-US"/>
        </w:rPr>
        <w:t>TGs;</w:t>
      </w:r>
      <w:proofErr w:type="gramEnd"/>
    </w:p>
    <w:p w14:paraId="4EA84760" w14:textId="58830B10" w:rsidR="00856BB2" w:rsidRPr="00836281" w:rsidRDefault="00856BB2" w:rsidP="00836281">
      <w:pPr>
        <w:pStyle w:val="ListParagraph"/>
        <w:numPr>
          <w:ilvl w:val="0"/>
          <w:numId w:val="25"/>
        </w:numPr>
        <w:rPr>
          <w:rFonts w:ascii="Georgia" w:hAnsi="Georgia"/>
          <w:i/>
          <w:iCs/>
          <w:sz w:val="20"/>
          <w:lang w:val="en-US"/>
        </w:rPr>
      </w:pPr>
      <w:r w:rsidRPr="00836281">
        <w:rPr>
          <w:rFonts w:ascii="Georgia" w:hAnsi="Georgia"/>
          <w:i/>
          <w:iCs/>
          <w:sz w:val="20"/>
          <w:lang w:val="en-US"/>
        </w:rPr>
        <w:t xml:space="preserve">are chaired by CWSS staff or a group </w:t>
      </w:r>
      <w:proofErr w:type="gramStart"/>
      <w:r w:rsidRPr="00836281">
        <w:rPr>
          <w:rFonts w:ascii="Georgia" w:hAnsi="Georgia"/>
          <w:i/>
          <w:iCs/>
          <w:sz w:val="20"/>
          <w:lang w:val="en-US"/>
        </w:rPr>
        <w:t>member;</w:t>
      </w:r>
      <w:proofErr w:type="gramEnd"/>
    </w:p>
    <w:p w14:paraId="28C709E4" w14:textId="46D3D96F" w:rsidR="00856BB2" w:rsidRPr="00836281" w:rsidRDefault="00856BB2" w:rsidP="00836281">
      <w:pPr>
        <w:pStyle w:val="ListParagraph"/>
        <w:numPr>
          <w:ilvl w:val="0"/>
          <w:numId w:val="25"/>
        </w:numPr>
        <w:rPr>
          <w:rFonts w:ascii="Georgia" w:hAnsi="Georgia"/>
          <w:i/>
          <w:iCs/>
          <w:sz w:val="20"/>
          <w:lang w:val="en-US"/>
        </w:rPr>
      </w:pPr>
      <w:r w:rsidRPr="00836281">
        <w:rPr>
          <w:rFonts w:ascii="Georgia" w:hAnsi="Georgia"/>
          <w:i/>
          <w:iCs/>
          <w:sz w:val="20"/>
          <w:lang w:val="en-US"/>
        </w:rPr>
        <w:t xml:space="preserve">are (in principle, but not necessarily) </w:t>
      </w:r>
      <w:proofErr w:type="gramStart"/>
      <w:r w:rsidRPr="00836281">
        <w:rPr>
          <w:rFonts w:ascii="Georgia" w:hAnsi="Georgia"/>
          <w:i/>
          <w:iCs/>
          <w:sz w:val="20"/>
          <w:lang w:val="en-US"/>
        </w:rPr>
        <w:t>permanent;</w:t>
      </w:r>
      <w:proofErr w:type="gramEnd"/>
    </w:p>
    <w:p w14:paraId="76D32566" w14:textId="48794D6D" w:rsidR="00856BB2" w:rsidRPr="00836281" w:rsidRDefault="00856BB2" w:rsidP="00836281">
      <w:pPr>
        <w:pStyle w:val="ListParagraph"/>
        <w:numPr>
          <w:ilvl w:val="0"/>
          <w:numId w:val="25"/>
        </w:numPr>
        <w:rPr>
          <w:rFonts w:ascii="Georgia" w:hAnsi="Georgia"/>
          <w:i/>
          <w:iCs/>
          <w:sz w:val="20"/>
          <w:lang w:val="en-US"/>
        </w:rPr>
      </w:pPr>
      <w:proofErr w:type="gramStart"/>
      <w:r w:rsidRPr="00836281">
        <w:rPr>
          <w:rFonts w:ascii="Georgia" w:hAnsi="Georgia"/>
          <w:i/>
          <w:iCs/>
          <w:sz w:val="20"/>
          <w:lang w:val="en-US"/>
        </w:rPr>
        <w:t>have the opportunity to</w:t>
      </w:r>
      <w:proofErr w:type="gramEnd"/>
      <w:r w:rsidRPr="00836281">
        <w:rPr>
          <w:rFonts w:ascii="Georgia" w:hAnsi="Georgia"/>
          <w:i/>
          <w:iCs/>
          <w:sz w:val="20"/>
          <w:lang w:val="en-US"/>
        </w:rPr>
        <w:t xml:space="preserve"> report annually to WSB.</w:t>
      </w:r>
    </w:p>
    <w:p w14:paraId="1D4EB564" w14:textId="77777777" w:rsidR="00856BB2" w:rsidRPr="00E80972" w:rsidRDefault="00856BB2" w:rsidP="00856BB2">
      <w:pPr>
        <w:spacing w:after="200" w:line="276" w:lineRule="auto"/>
        <w:rPr>
          <w:rFonts w:ascii="Georgia" w:hAnsi="Georgia"/>
          <w:i/>
          <w:iCs/>
          <w:sz w:val="20"/>
          <w:szCs w:val="22"/>
        </w:rPr>
      </w:pPr>
      <w:r w:rsidRPr="00E80972">
        <w:rPr>
          <w:rFonts w:ascii="Georgia" w:hAnsi="Georgia"/>
          <w:i/>
          <w:iCs/>
          <w:sz w:val="20"/>
          <w:szCs w:val="22"/>
        </w:rPr>
        <w:t xml:space="preserve">All Expert Groups shall address their reports to both Task Groups TG-M and TG-MA if both management and monitoring matters are covered and each of the two Task Groups should address those elements of the reports falling under its respective </w:t>
      </w:r>
      <w:proofErr w:type="gramStart"/>
      <w:r w:rsidRPr="00E80972">
        <w:rPr>
          <w:rFonts w:ascii="Georgia" w:hAnsi="Georgia"/>
          <w:i/>
          <w:iCs/>
          <w:sz w:val="20"/>
          <w:szCs w:val="22"/>
        </w:rPr>
        <w:t>remit;</w:t>
      </w:r>
      <w:proofErr w:type="gramEnd"/>
    </w:p>
    <w:p w14:paraId="6F917034" w14:textId="77777777" w:rsidR="00856BB2" w:rsidRPr="00E80972" w:rsidRDefault="00856BB2" w:rsidP="00856BB2">
      <w:pPr>
        <w:spacing w:after="200" w:line="276" w:lineRule="auto"/>
        <w:rPr>
          <w:rFonts w:ascii="Georgia" w:hAnsi="Georgia"/>
          <w:i/>
          <w:iCs/>
          <w:sz w:val="20"/>
          <w:szCs w:val="22"/>
        </w:rPr>
      </w:pPr>
      <w:r w:rsidRPr="00E80972">
        <w:rPr>
          <w:rFonts w:ascii="Georgia" w:hAnsi="Georgia"/>
          <w:i/>
          <w:iCs/>
          <w:sz w:val="20"/>
          <w:szCs w:val="22"/>
        </w:rPr>
        <w:t>To take account of the general wish expressed by the groups for enhanced communication between them, suggestions should be brought forward on how to achieve this, e.g., by mutual representation or “sharing of” members between different groups, back-to-back meetings, joint symposia, etc. The WSB is requested to instruct chairpersons of the respective groups and secretaries towards achieving this</w:t>
      </w:r>
    </w:p>
    <w:p w14:paraId="4BA9DC9B" w14:textId="33D1447A" w:rsidR="00E80972" w:rsidRDefault="00856BB2" w:rsidP="00892271">
      <w:pPr>
        <w:spacing w:after="200" w:line="276" w:lineRule="auto"/>
        <w:rPr>
          <w:rFonts w:ascii="Georgia" w:hAnsi="Georgia"/>
          <w:sz w:val="20"/>
          <w:szCs w:val="22"/>
        </w:rPr>
      </w:pPr>
      <w:r w:rsidRPr="00E80972">
        <w:rPr>
          <w:rFonts w:ascii="Georgia" w:hAnsi="Georgia"/>
          <w:i/>
          <w:iCs/>
          <w:sz w:val="20"/>
          <w:szCs w:val="22"/>
        </w:rPr>
        <w:t xml:space="preserve">Annual written reports of Groups are not necessary and should be removed from all TOR. TGs should report regularly to WSB, EGs and NGs should have the opportunity to report to WSB annually, if they wish to do </w:t>
      </w:r>
      <w:proofErr w:type="gramStart"/>
      <w:r w:rsidRPr="00E80972">
        <w:rPr>
          <w:rFonts w:ascii="Georgia" w:hAnsi="Georgia"/>
          <w:i/>
          <w:iCs/>
          <w:sz w:val="20"/>
          <w:szCs w:val="22"/>
        </w:rPr>
        <w:t>so;</w:t>
      </w:r>
      <w:proofErr w:type="gramEnd"/>
    </w:p>
    <w:p w14:paraId="5C23BAAE" w14:textId="6FB51EC4" w:rsidR="000051F4" w:rsidRDefault="000051F4" w:rsidP="00856BB2">
      <w:pPr>
        <w:spacing w:after="200" w:line="276" w:lineRule="auto"/>
        <w:jc w:val="center"/>
        <w:rPr>
          <w:rFonts w:ascii="Georgia" w:hAnsi="Georgia"/>
          <w:sz w:val="20"/>
          <w:szCs w:val="22"/>
        </w:rPr>
      </w:pPr>
      <w:r>
        <w:rPr>
          <w:rFonts w:ascii="Georgia" w:hAnsi="Georgia"/>
          <w:noProof/>
          <w:sz w:val="20"/>
          <w:szCs w:val="22"/>
          <w:lang w:val="de-DE" w:eastAsia="de-DE"/>
        </w:rPr>
        <w:lastRenderedPageBreak/>
        <w:drawing>
          <wp:inline distT="0" distB="0" distL="0" distR="0" wp14:anchorId="2E0F8E56" wp14:editId="13DC4C1D">
            <wp:extent cx="4271633" cy="324997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0257" cy="3264145"/>
                    </a:xfrm>
                    <a:prstGeom prst="rect">
                      <a:avLst/>
                    </a:prstGeom>
                    <a:noFill/>
                  </pic:spPr>
                </pic:pic>
              </a:graphicData>
            </a:graphic>
          </wp:inline>
        </w:drawing>
      </w:r>
    </w:p>
    <w:p w14:paraId="6A20E982" w14:textId="71608AA5" w:rsidR="000051F4" w:rsidRPr="00E80972" w:rsidRDefault="00E80972" w:rsidP="00856BB2">
      <w:pPr>
        <w:spacing w:after="200" w:line="276" w:lineRule="auto"/>
        <w:jc w:val="center"/>
        <w:rPr>
          <w:rFonts w:ascii="Georgia" w:hAnsi="Georgia"/>
          <w:b/>
          <w:bCs/>
          <w:sz w:val="20"/>
          <w:szCs w:val="22"/>
        </w:rPr>
      </w:pPr>
      <w:r w:rsidRPr="00E80972">
        <w:rPr>
          <w:rFonts w:ascii="Georgia" w:hAnsi="Georgia"/>
          <w:b/>
          <w:bCs/>
          <w:sz w:val="20"/>
          <w:szCs w:val="22"/>
        </w:rPr>
        <w:t xml:space="preserve">Figure: </w:t>
      </w:r>
      <w:proofErr w:type="spellStart"/>
      <w:r w:rsidRPr="00E80972">
        <w:rPr>
          <w:rFonts w:ascii="Georgia" w:hAnsi="Georgia"/>
          <w:b/>
          <w:bCs/>
          <w:sz w:val="20"/>
          <w:szCs w:val="22"/>
        </w:rPr>
        <w:t>Or</w:t>
      </w:r>
      <w:r w:rsidR="00EF08E4">
        <w:rPr>
          <w:rFonts w:ascii="Georgia" w:hAnsi="Georgia"/>
          <w:b/>
          <w:bCs/>
          <w:sz w:val="20"/>
          <w:szCs w:val="22"/>
        </w:rPr>
        <w:t>g</w:t>
      </w:r>
      <w:r w:rsidRPr="00E80972">
        <w:rPr>
          <w:rFonts w:ascii="Georgia" w:hAnsi="Georgia"/>
          <w:b/>
          <w:bCs/>
          <w:sz w:val="20"/>
          <w:szCs w:val="22"/>
        </w:rPr>
        <w:t>anisational</w:t>
      </w:r>
      <w:proofErr w:type="spellEnd"/>
      <w:r w:rsidRPr="00E80972">
        <w:rPr>
          <w:rFonts w:ascii="Georgia" w:hAnsi="Georgia"/>
          <w:b/>
          <w:bCs/>
          <w:sz w:val="20"/>
          <w:szCs w:val="22"/>
        </w:rPr>
        <w:t xml:space="preserve"> structure of the Tri</w:t>
      </w:r>
      <w:r w:rsidR="00EF08E4">
        <w:rPr>
          <w:rFonts w:ascii="Georgia" w:hAnsi="Georgia"/>
          <w:b/>
          <w:bCs/>
          <w:sz w:val="20"/>
          <w:szCs w:val="22"/>
        </w:rPr>
        <w:t>l</w:t>
      </w:r>
      <w:r w:rsidRPr="00E80972">
        <w:rPr>
          <w:rFonts w:ascii="Georgia" w:hAnsi="Georgia"/>
          <w:b/>
          <w:bCs/>
          <w:sz w:val="20"/>
          <w:szCs w:val="22"/>
        </w:rPr>
        <w:t xml:space="preserve">ateral </w:t>
      </w:r>
      <w:proofErr w:type="spellStart"/>
      <w:r w:rsidRPr="00E80972">
        <w:rPr>
          <w:rFonts w:ascii="Georgia" w:hAnsi="Georgia"/>
          <w:b/>
          <w:bCs/>
          <w:sz w:val="20"/>
          <w:szCs w:val="22"/>
        </w:rPr>
        <w:t>Wadden</w:t>
      </w:r>
      <w:proofErr w:type="spellEnd"/>
      <w:r w:rsidRPr="00E80972">
        <w:rPr>
          <w:rFonts w:ascii="Georgia" w:hAnsi="Georgia"/>
          <w:b/>
          <w:bCs/>
          <w:sz w:val="20"/>
          <w:szCs w:val="22"/>
        </w:rPr>
        <w:t xml:space="preserve"> Sea Cooperation</w:t>
      </w:r>
    </w:p>
    <w:p w14:paraId="22DB944C" w14:textId="77777777" w:rsidR="00A14404" w:rsidRPr="00A14404" w:rsidRDefault="00A14404" w:rsidP="00892271">
      <w:pPr>
        <w:spacing w:after="200" w:line="276" w:lineRule="auto"/>
        <w:rPr>
          <w:rFonts w:ascii="Georgia" w:hAnsi="Georgia"/>
          <w:sz w:val="20"/>
          <w:szCs w:val="22"/>
        </w:rPr>
      </w:pPr>
    </w:p>
    <w:p w14:paraId="71F94087" w14:textId="77069417" w:rsidR="00A14404" w:rsidRPr="00892271" w:rsidRDefault="00A14404" w:rsidP="00A14404">
      <w:pPr>
        <w:pStyle w:val="Heading2"/>
      </w:pPr>
      <w:r>
        <w:t xml:space="preserve">Key </w:t>
      </w:r>
      <w:r w:rsidR="00836281">
        <w:t>documents for SWIMWAY</w:t>
      </w:r>
      <w:r w:rsidR="008D0EFB">
        <w:t xml:space="preserve"> </w:t>
      </w:r>
      <w:proofErr w:type="spellStart"/>
      <w:r w:rsidR="008D0EFB">
        <w:t>Wadden</w:t>
      </w:r>
      <w:proofErr w:type="spellEnd"/>
      <w:r w:rsidR="008D0EFB">
        <w:t xml:space="preserve"> Sea</w:t>
      </w:r>
    </w:p>
    <w:p w14:paraId="6F17D7C9" w14:textId="77777777" w:rsidR="00A14404" w:rsidRPr="00460963" w:rsidRDefault="00A14404" w:rsidP="00E80972">
      <w:pPr>
        <w:pStyle w:val="BodyText1"/>
        <w:rPr>
          <w:b/>
          <w:bCs/>
        </w:rPr>
      </w:pPr>
      <w:r w:rsidRPr="00460963">
        <w:rPr>
          <w:b/>
          <w:bCs/>
        </w:rPr>
        <w:t>Leeuwarden Declaration</w:t>
      </w:r>
    </w:p>
    <w:p w14:paraId="26300B2C" w14:textId="025AC3D8" w:rsidR="00E80972" w:rsidRPr="00E80972" w:rsidRDefault="00E80972" w:rsidP="00E80972">
      <w:pPr>
        <w:pStyle w:val="BodyText1"/>
      </w:pPr>
      <w:r w:rsidRPr="00E80972">
        <w:t xml:space="preserve">The </w:t>
      </w:r>
      <w:hyperlink r:id="rId12" w:history="1">
        <w:r w:rsidRPr="00E80972">
          <w:t>Leeuwarden Declaration</w:t>
        </w:r>
      </w:hyperlink>
      <w:r w:rsidRPr="00E80972">
        <w:t xml:space="preserve">, signed at the 13th Trilateral Governmental Conference in Leeuwarden, Netherlands, on 18 May 2018, contains key points for the 2018-2022 period of the Trilateral Cooperation on the Protection of the </w:t>
      </w:r>
      <w:proofErr w:type="spellStart"/>
      <w:r w:rsidRPr="00E80972">
        <w:t>Wadden</w:t>
      </w:r>
      <w:proofErr w:type="spellEnd"/>
      <w:r w:rsidRPr="00E80972">
        <w:t xml:space="preserve"> Sea.</w:t>
      </w:r>
      <w:r w:rsidR="00A14404">
        <w:t xml:space="preserve"> Amongst these:</w:t>
      </w:r>
    </w:p>
    <w:p w14:paraId="04A4382F" w14:textId="77777777" w:rsidR="00A14404" w:rsidRDefault="00A14404" w:rsidP="00A14404">
      <w:pPr>
        <w:pStyle w:val="BodyText1"/>
        <w:rPr>
          <w:i/>
          <w:iCs/>
        </w:rPr>
      </w:pPr>
      <w:r>
        <w:rPr>
          <w:i/>
          <w:iCs/>
        </w:rPr>
        <w:t xml:space="preserve">The </w:t>
      </w:r>
      <w:proofErr w:type="gramStart"/>
      <w:r>
        <w:rPr>
          <w:i/>
          <w:iCs/>
        </w:rPr>
        <w:t>Ministers..</w:t>
      </w:r>
      <w:proofErr w:type="gramEnd"/>
    </w:p>
    <w:p w14:paraId="78E64DD8" w14:textId="583C1EA8" w:rsidR="00E80972" w:rsidRDefault="00A14404" w:rsidP="00A14404">
      <w:pPr>
        <w:pStyle w:val="BodyText1"/>
        <w:rPr>
          <w:i/>
          <w:iCs/>
        </w:rPr>
      </w:pPr>
      <w:r w:rsidRPr="00A14404">
        <w:rPr>
          <w:b/>
          <w:bCs/>
          <w:i/>
          <w:iCs/>
        </w:rPr>
        <w:t>13. Instruct</w:t>
      </w:r>
      <w:r w:rsidRPr="00A14404">
        <w:rPr>
          <w:i/>
          <w:iCs/>
        </w:rPr>
        <w:t xml:space="preserve"> the </w:t>
      </w:r>
      <w:proofErr w:type="spellStart"/>
      <w:r w:rsidRPr="00A14404">
        <w:rPr>
          <w:i/>
          <w:iCs/>
        </w:rPr>
        <w:t>Wadden</w:t>
      </w:r>
      <w:proofErr w:type="spellEnd"/>
      <w:r w:rsidRPr="00A14404">
        <w:rPr>
          <w:i/>
          <w:iCs/>
        </w:rPr>
        <w:t xml:space="preserve"> </w:t>
      </w:r>
      <w:proofErr w:type="gramStart"/>
      <w:r w:rsidRPr="00A14404">
        <w:rPr>
          <w:i/>
          <w:iCs/>
        </w:rPr>
        <w:t>Sea Board</w:t>
      </w:r>
      <w:proofErr w:type="gramEnd"/>
      <w:r w:rsidRPr="00A14404">
        <w:rPr>
          <w:i/>
          <w:iCs/>
        </w:rPr>
        <w:t xml:space="preserve"> to further develop and contribute to implementing the SWIMWAY Vision (at Annex 3) as an integrated approach to achieving the Trilateral Fish Targets by investigating, monitoring, managing and communicating topics concerning the ecology of fish of the </w:t>
      </w:r>
      <w:proofErr w:type="spellStart"/>
      <w:r w:rsidRPr="00A14404">
        <w:rPr>
          <w:i/>
          <w:iCs/>
        </w:rPr>
        <w:t>Wadden</w:t>
      </w:r>
      <w:proofErr w:type="spellEnd"/>
      <w:r w:rsidRPr="00A14404">
        <w:rPr>
          <w:i/>
          <w:iCs/>
        </w:rPr>
        <w:t xml:space="preserve"> Sea Area;</w:t>
      </w:r>
    </w:p>
    <w:p w14:paraId="51856124" w14:textId="77777777" w:rsidR="00A14404" w:rsidRPr="00E80972" w:rsidRDefault="00A14404" w:rsidP="00A14404">
      <w:pPr>
        <w:pStyle w:val="BodyText1"/>
      </w:pPr>
      <w:r>
        <w:t xml:space="preserve">During the Trilateral </w:t>
      </w:r>
      <w:proofErr w:type="spellStart"/>
      <w:r>
        <w:t>Wadden</w:t>
      </w:r>
      <w:proofErr w:type="spellEnd"/>
      <w:r>
        <w:t xml:space="preserve"> Sea Conference held in conjunction with the Trilateral Governmental Council and open to stakeholders, a </w:t>
      </w:r>
      <w:proofErr w:type="spellStart"/>
      <w:r>
        <w:t>Swimway</w:t>
      </w:r>
      <w:proofErr w:type="spellEnd"/>
      <w:r>
        <w:t xml:space="preserve"> Vision based on the 2016 </w:t>
      </w:r>
      <w:proofErr w:type="spellStart"/>
      <w:r>
        <w:t>Swimway</w:t>
      </w:r>
      <w:proofErr w:type="spellEnd"/>
      <w:r>
        <w:t xml:space="preserve"> Initiative was signed.</w:t>
      </w:r>
    </w:p>
    <w:p w14:paraId="1397605C" w14:textId="77777777" w:rsidR="00460963" w:rsidRPr="00460963" w:rsidRDefault="00460963" w:rsidP="00A14404">
      <w:pPr>
        <w:pStyle w:val="BodyText1"/>
        <w:rPr>
          <w:b/>
          <w:bCs/>
        </w:rPr>
      </w:pPr>
      <w:proofErr w:type="spellStart"/>
      <w:r w:rsidRPr="00460963">
        <w:rPr>
          <w:b/>
          <w:bCs/>
        </w:rPr>
        <w:t>Wadden</w:t>
      </w:r>
      <w:proofErr w:type="spellEnd"/>
      <w:r w:rsidRPr="00460963">
        <w:rPr>
          <w:b/>
          <w:bCs/>
        </w:rPr>
        <w:t xml:space="preserve"> Sea Plan</w:t>
      </w:r>
    </w:p>
    <w:p w14:paraId="15710959" w14:textId="156936EF" w:rsidR="00A14404" w:rsidRDefault="00A14404" w:rsidP="00A14404">
      <w:pPr>
        <w:pStyle w:val="BodyText1"/>
      </w:pPr>
      <w:r w:rsidRPr="00A14404">
        <w:t xml:space="preserve">The </w:t>
      </w:r>
      <w:hyperlink r:id="rId13" w:history="1">
        <w:r w:rsidRPr="00A14404">
          <w:rPr>
            <w:rStyle w:val="Hyperlink"/>
          </w:rPr>
          <w:t xml:space="preserve">Trilateral </w:t>
        </w:r>
        <w:proofErr w:type="spellStart"/>
        <w:r w:rsidRPr="00A14404">
          <w:rPr>
            <w:rStyle w:val="Hyperlink"/>
          </w:rPr>
          <w:t>Wadden</w:t>
        </w:r>
        <w:proofErr w:type="spellEnd"/>
        <w:r w:rsidRPr="00A14404">
          <w:rPr>
            <w:rStyle w:val="Hyperlink"/>
          </w:rPr>
          <w:t xml:space="preserve"> Sea Plan (WSP)</w:t>
        </w:r>
      </w:hyperlink>
      <w:r w:rsidRPr="00A14404">
        <w:t xml:space="preserve"> </w:t>
      </w:r>
      <w:r w:rsidR="00460963">
        <w:t xml:space="preserve">2010 </w:t>
      </w:r>
      <w:r w:rsidRPr="00A14404">
        <w:t xml:space="preserve">is the common policy and management plan for the protection and sustainable management of the </w:t>
      </w:r>
      <w:proofErr w:type="spellStart"/>
      <w:r w:rsidRPr="00A14404">
        <w:t>Wadden</w:t>
      </w:r>
      <w:proofErr w:type="spellEnd"/>
      <w:r w:rsidRPr="00A14404">
        <w:t xml:space="preserve"> Sea Area. It is also the common management plan for the </w:t>
      </w:r>
      <w:proofErr w:type="spellStart"/>
      <w:r w:rsidRPr="00A14404">
        <w:t>Wadden</w:t>
      </w:r>
      <w:proofErr w:type="spellEnd"/>
      <w:r w:rsidRPr="00A14404">
        <w:t xml:space="preserve"> Sea World Heritage Site. A unique and basic feature of the </w:t>
      </w:r>
      <w:proofErr w:type="spellStart"/>
      <w:r w:rsidRPr="00A14404">
        <w:t>Wadden</w:t>
      </w:r>
      <w:proofErr w:type="spellEnd"/>
      <w:r w:rsidRPr="00A14404">
        <w:t xml:space="preserve"> Sea Plan is that it aims at achieving the full </w:t>
      </w:r>
      <w:proofErr w:type="spellStart"/>
      <w:r w:rsidRPr="00A14404">
        <w:t>scala</w:t>
      </w:r>
      <w:proofErr w:type="spellEnd"/>
      <w:r w:rsidRPr="00A14404">
        <w:t xml:space="preserve"> of habitats, which belong to a natural and dynamic </w:t>
      </w:r>
      <w:proofErr w:type="spellStart"/>
      <w:r w:rsidRPr="00A14404">
        <w:t>Wadden</w:t>
      </w:r>
      <w:proofErr w:type="spellEnd"/>
      <w:r w:rsidRPr="00A14404">
        <w:t xml:space="preserve"> Sea. Each of these habitats, for which common trilateral Targets have been adopted, needs a certain quality (natural dynamics, absence of anthropogenic disturbance, absence of pollution), which can be reached by proper management of the area.</w:t>
      </w:r>
    </w:p>
    <w:p w14:paraId="25D3F686" w14:textId="6B7816E2" w:rsidR="00460963" w:rsidRDefault="00460963" w:rsidP="00A14404">
      <w:pPr>
        <w:pStyle w:val="BodyText1"/>
      </w:pPr>
      <w:r>
        <w:t xml:space="preserve">The WSP 2010 contains </w:t>
      </w:r>
      <w:r w:rsidR="00F55CC4">
        <w:t>F</w:t>
      </w:r>
      <w:r>
        <w:t>ish Targets (page 77 ff)</w:t>
      </w:r>
    </w:p>
    <w:p w14:paraId="2CDF308C" w14:textId="596F5B92" w:rsidR="00460963" w:rsidRDefault="00460963" w:rsidP="00836281">
      <w:pPr>
        <w:pStyle w:val="BodyText1"/>
        <w:numPr>
          <w:ilvl w:val="0"/>
          <w:numId w:val="27"/>
        </w:numPr>
        <w:spacing w:after="0"/>
      </w:pPr>
      <w:r>
        <w:t xml:space="preserve">Viable stocks of populations and a natural reproduction of typical </w:t>
      </w:r>
      <w:proofErr w:type="spellStart"/>
      <w:r>
        <w:t>Wadden</w:t>
      </w:r>
      <w:proofErr w:type="spellEnd"/>
      <w:r>
        <w:t xml:space="preserve"> Sea fish species.</w:t>
      </w:r>
    </w:p>
    <w:p w14:paraId="4E00B3EA" w14:textId="32F4DB4B" w:rsidR="00460963" w:rsidRDefault="00460963" w:rsidP="00836281">
      <w:pPr>
        <w:pStyle w:val="BodyText1"/>
        <w:numPr>
          <w:ilvl w:val="0"/>
          <w:numId w:val="27"/>
        </w:numPr>
        <w:spacing w:after="0"/>
      </w:pPr>
      <w:r>
        <w:t>Occurrence and abundance of fish species according to the natural dynamics in (a)biotic conditions.</w:t>
      </w:r>
    </w:p>
    <w:p w14:paraId="0C02F260" w14:textId="77777777" w:rsidR="00460963" w:rsidRDefault="00460963" w:rsidP="00836281">
      <w:pPr>
        <w:pStyle w:val="BodyText1"/>
        <w:numPr>
          <w:ilvl w:val="0"/>
          <w:numId w:val="27"/>
        </w:numPr>
        <w:spacing w:after="0"/>
      </w:pPr>
      <w:proofErr w:type="spellStart"/>
      <w:r>
        <w:t>Favourable</w:t>
      </w:r>
      <w:proofErr w:type="spellEnd"/>
      <w:r>
        <w:t xml:space="preserve"> living conditions for endangered fish species.</w:t>
      </w:r>
    </w:p>
    <w:p w14:paraId="22858A7D" w14:textId="6AE6092A" w:rsidR="00460963" w:rsidRDefault="00460963" w:rsidP="00836281">
      <w:pPr>
        <w:pStyle w:val="BodyText1"/>
        <w:numPr>
          <w:ilvl w:val="0"/>
          <w:numId w:val="27"/>
        </w:numPr>
        <w:spacing w:after="0"/>
      </w:pPr>
      <w:r>
        <w:lastRenderedPageBreak/>
        <w:t>Maintenance of the diversity of natural habitats to provide substratum for spawning and nursery functions for juvenile fish.</w:t>
      </w:r>
    </w:p>
    <w:p w14:paraId="1BA26E82" w14:textId="481BB942" w:rsidR="00460963" w:rsidRDefault="00460963" w:rsidP="00836281">
      <w:pPr>
        <w:pStyle w:val="BodyText1"/>
        <w:numPr>
          <w:ilvl w:val="0"/>
          <w:numId w:val="27"/>
        </w:numPr>
      </w:pPr>
      <w:r>
        <w:t xml:space="preserve">Maintaining and restoring the possibilities for the passage of migrating fish between the </w:t>
      </w:r>
      <w:proofErr w:type="spellStart"/>
      <w:r>
        <w:t>Wadden</w:t>
      </w:r>
      <w:proofErr w:type="spellEnd"/>
      <w:r>
        <w:t xml:space="preserve"> Sea and inland waters</w:t>
      </w:r>
    </w:p>
    <w:p w14:paraId="39383AC3" w14:textId="77777777" w:rsidR="00F55CC4" w:rsidRPr="00836281" w:rsidRDefault="00460963" w:rsidP="00836281">
      <w:pPr>
        <w:pStyle w:val="BodyText1"/>
      </w:pPr>
      <w:r w:rsidRPr="00836281">
        <w:t xml:space="preserve">Note: Tulp et al propose in the </w:t>
      </w:r>
      <w:proofErr w:type="spellStart"/>
      <w:r w:rsidRPr="00836281">
        <w:t>Wadden</w:t>
      </w:r>
      <w:proofErr w:type="spellEnd"/>
      <w:r w:rsidRPr="00836281">
        <w:t xml:space="preserve"> Sea Quality Status Report (QSR) 2017 </w:t>
      </w:r>
      <w:hyperlink r:id="rId14" w:history="1">
        <w:r w:rsidRPr="00836281">
          <w:rPr>
            <w:rStyle w:val="Hyperlink"/>
            <w:color w:val="auto"/>
            <w:u w:val="none"/>
          </w:rPr>
          <w:t>thematic report on Fish</w:t>
        </w:r>
      </w:hyperlink>
      <w:r w:rsidRPr="00836281">
        <w:t xml:space="preserve"> </w:t>
      </w:r>
      <w:r w:rsidR="00F55CC4" w:rsidRPr="00836281">
        <w:t xml:space="preserve">that </w:t>
      </w:r>
    </w:p>
    <w:p w14:paraId="66031B52" w14:textId="2074BB0A" w:rsidR="00460963" w:rsidRPr="00F55CC4" w:rsidRDefault="00F55CC4" w:rsidP="00460963">
      <w:pPr>
        <w:pStyle w:val="BodyText1"/>
        <w:ind w:left="360"/>
        <w:rPr>
          <w:i/>
          <w:iCs/>
        </w:rPr>
      </w:pPr>
      <w:r>
        <w:t>“</w:t>
      </w:r>
      <w:r w:rsidR="00460963" w:rsidRPr="00F55CC4">
        <w:rPr>
          <w:i/>
          <w:iCs/>
        </w:rPr>
        <w:t>These targets were not formulated in a testable way, which makes it impossible to evaluate them quantitatively. Furthermore, the formulations are not all easy to comprehend, allowing multiple interpretations. To facilitate objective evaluation in the future, we propose to restructure and reformulate the targets as follows:</w:t>
      </w:r>
    </w:p>
    <w:p w14:paraId="3AD59E0B" w14:textId="293921A4" w:rsidR="00460963" w:rsidRPr="00F55CC4" w:rsidRDefault="00460963" w:rsidP="00460963">
      <w:pPr>
        <w:pStyle w:val="BodyText1"/>
        <w:ind w:left="360"/>
        <w:rPr>
          <w:i/>
          <w:iCs/>
        </w:rPr>
      </w:pPr>
      <w:r w:rsidRPr="00F55CC4">
        <w:rPr>
          <w:i/>
          <w:iCs/>
        </w:rPr>
        <w:t>Overall target:</w:t>
      </w:r>
      <w:r w:rsidR="00F55CC4">
        <w:rPr>
          <w:i/>
          <w:iCs/>
        </w:rPr>
        <w:t xml:space="preserve"> </w:t>
      </w:r>
      <w:r w:rsidRPr="00F55CC4">
        <w:rPr>
          <w:i/>
          <w:iCs/>
        </w:rPr>
        <w:t xml:space="preserve">There should be no human-induced bottlenecks in the </w:t>
      </w:r>
      <w:proofErr w:type="spellStart"/>
      <w:r w:rsidRPr="00F55CC4">
        <w:rPr>
          <w:i/>
          <w:iCs/>
        </w:rPr>
        <w:t>Wadden</w:t>
      </w:r>
      <w:proofErr w:type="spellEnd"/>
      <w:r w:rsidRPr="00F55CC4">
        <w:rPr>
          <w:i/>
          <w:iCs/>
        </w:rPr>
        <w:t xml:space="preserve"> Sea for fish populations or their ecosystem functions.</w:t>
      </w:r>
    </w:p>
    <w:p w14:paraId="3ECDA08B" w14:textId="77777777" w:rsidR="00460963" w:rsidRPr="00F55CC4" w:rsidRDefault="00460963" w:rsidP="00460963">
      <w:pPr>
        <w:pStyle w:val="BodyText1"/>
        <w:ind w:left="360"/>
        <w:rPr>
          <w:i/>
          <w:iCs/>
        </w:rPr>
      </w:pPr>
      <w:r w:rsidRPr="00F55CC4">
        <w:rPr>
          <w:i/>
          <w:iCs/>
        </w:rPr>
        <w:t>Targets (all in reference to the overall target):</w:t>
      </w:r>
    </w:p>
    <w:p w14:paraId="7194D3A7" w14:textId="77777777" w:rsidR="00460963" w:rsidRPr="00F55CC4" w:rsidRDefault="00460963" w:rsidP="00460963">
      <w:pPr>
        <w:pStyle w:val="BodyText1"/>
        <w:ind w:left="360"/>
        <w:rPr>
          <w:i/>
          <w:iCs/>
        </w:rPr>
      </w:pPr>
      <w:r w:rsidRPr="00F55CC4">
        <w:rPr>
          <w:i/>
          <w:iCs/>
        </w:rPr>
        <w:t>Maintain or improve:</w:t>
      </w:r>
    </w:p>
    <w:p w14:paraId="15B16AB6" w14:textId="4C61E1D7" w:rsidR="00460963" w:rsidRPr="00836281" w:rsidRDefault="00460963" w:rsidP="00836281">
      <w:pPr>
        <w:pStyle w:val="BodyText1"/>
        <w:numPr>
          <w:ilvl w:val="0"/>
          <w:numId w:val="27"/>
        </w:numPr>
        <w:spacing w:after="0"/>
        <w:rPr>
          <w:i/>
          <w:iCs/>
        </w:rPr>
      </w:pPr>
      <w:r w:rsidRPr="00836281">
        <w:rPr>
          <w:i/>
          <w:iCs/>
        </w:rPr>
        <w:t xml:space="preserve">Robust and viable populations of estuarine resident fish </w:t>
      </w:r>
      <w:proofErr w:type="gramStart"/>
      <w:r w:rsidRPr="00836281">
        <w:rPr>
          <w:i/>
          <w:iCs/>
        </w:rPr>
        <w:t>species;</w:t>
      </w:r>
      <w:proofErr w:type="gramEnd"/>
    </w:p>
    <w:p w14:paraId="5257919F" w14:textId="6221C979" w:rsidR="00460963" w:rsidRPr="00836281" w:rsidRDefault="00460963" w:rsidP="00836281">
      <w:pPr>
        <w:pStyle w:val="BodyText1"/>
        <w:numPr>
          <w:ilvl w:val="0"/>
          <w:numId w:val="27"/>
        </w:numPr>
        <w:spacing w:after="0"/>
        <w:rPr>
          <w:i/>
          <w:iCs/>
        </w:rPr>
      </w:pPr>
      <w:r w:rsidRPr="00836281">
        <w:rPr>
          <w:i/>
          <w:iCs/>
        </w:rPr>
        <w:t xml:space="preserve">The nursery function of the </w:t>
      </w:r>
      <w:proofErr w:type="spellStart"/>
      <w:r w:rsidRPr="00836281">
        <w:rPr>
          <w:i/>
          <w:iCs/>
        </w:rPr>
        <w:t>Wadden</w:t>
      </w:r>
      <w:proofErr w:type="spellEnd"/>
      <w:r w:rsidRPr="00836281">
        <w:rPr>
          <w:i/>
          <w:iCs/>
        </w:rPr>
        <w:t xml:space="preserve"> Sea and </w:t>
      </w:r>
      <w:proofErr w:type="gramStart"/>
      <w:r w:rsidRPr="00836281">
        <w:rPr>
          <w:i/>
          <w:iCs/>
        </w:rPr>
        <w:t>estuaries;</w:t>
      </w:r>
      <w:proofErr w:type="gramEnd"/>
    </w:p>
    <w:p w14:paraId="047A61DF" w14:textId="453B1507" w:rsidR="00460963" w:rsidRPr="00836281" w:rsidRDefault="00460963" w:rsidP="00836281">
      <w:pPr>
        <w:pStyle w:val="BodyText1"/>
        <w:numPr>
          <w:ilvl w:val="0"/>
          <w:numId w:val="27"/>
        </w:numPr>
        <w:spacing w:after="0"/>
        <w:rPr>
          <w:i/>
          <w:iCs/>
        </w:rPr>
      </w:pPr>
      <w:r w:rsidRPr="00836281">
        <w:rPr>
          <w:i/>
          <w:iCs/>
        </w:rPr>
        <w:t xml:space="preserve">The quality and quantity of typical </w:t>
      </w:r>
      <w:proofErr w:type="spellStart"/>
      <w:r w:rsidRPr="00836281">
        <w:rPr>
          <w:i/>
          <w:iCs/>
        </w:rPr>
        <w:t>Wadden</w:t>
      </w:r>
      <w:proofErr w:type="spellEnd"/>
      <w:r w:rsidRPr="00836281">
        <w:rPr>
          <w:i/>
          <w:iCs/>
        </w:rPr>
        <w:t xml:space="preserve"> Sea </w:t>
      </w:r>
      <w:proofErr w:type="gramStart"/>
      <w:r w:rsidRPr="00836281">
        <w:rPr>
          <w:i/>
          <w:iCs/>
        </w:rPr>
        <w:t>habitats;</w:t>
      </w:r>
      <w:proofErr w:type="gramEnd"/>
    </w:p>
    <w:p w14:paraId="66096B12" w14:textId="06A280DE" w:rsidR="00460963" w:rsidRPr="00836281" w:rsidRDefault="00460963" w:rsidP="00836281">
      <w:pPr>
        <w:pStyle w:val="BodyText1"/>
        <w:numPr>
          <w:ilvl w:val="0"/>
          <w:numId w:val="27"/>
        </w:numPr>
        <w:spacing w:after="0"/>
        <w:rPr>
          <w:i/>
          <w:iCs/>
        </w:rPr>
      </w:pPr>
      <w:proofErr w:type="gramStart"/>
      <w:r w:rsidRPr="00836281">
        <w:rPr>
          <w:i/>
          <w:iCs/>
        </w:rPr>
        <w:t>Passage ways</w:t>
      </w:r>
      <w:proofErr w:type="gramEnd"/>
      <w:r w:rsidRPr="00836281">
        <w:rPr>
          <w:i/>
          <w:iCs/>
        </w:rPr>
        <w:t xml:space="preserve"> for fish migrating between the </w:t>
      </w:r>
      <w:proofErr w:type="spellStart"/>
      <w:r w:rsidRPr="00836281">
        <w:rPr>
          <w:i/>
          <w:iCs/>
        </w:rPr>
        <w:t>Wadden</w:t>
      </w:r>
      <w:proofErr w:type="spellEnd"/>
      <w:r w:rsidRPr="00836281">
        <w:rPr>
          <w:i/>
          <w:iCs/>
        </w:rPr>
        <w:t xml:space="preserve"> Sea and inland waters;</w:t>
      </w:r>
    </w:p>
    <w:p w14:paraId="125D812F" w14:textId="23367787" w:rsidR="00460963" w:rsidRPr="00836281" w:rsidRDefault="00460963" w:rsidP="00836281">
      <w:pPr>
        <w:pStyle w:val="BodyText1"/>
        <w:numPr>
          <w:ilvl w:val="0"/>
          <w:numId w:val="27"/>
        </w:numPr>
        <w:rPr>
          <w:i/>
          <w:iCs/>
        </w:rPr>
      </w:pPr>
      <w:r w:rsidRPr="00836281">
        <w:rPr>
          <w:i/>
          <w:iCs/>
        </w:rPr>
        <w:t>Conservation of endangered fish species.</w:t>
      </w:r>
    </w:p>
    <w:p w14:paraId="7A96477F" w14:textId="77777777" w:rsidR="00460963" w:rsidRPr="00F55CC4" w:rsidRDefault="00460963" w:rsidP="00460963">
      <w:pPr>
        <w:pStyle w:val="BodyText1"/>
        <w:ind w:left="360"/>
        <w:rPr>
          <w:i/>
          <w:iCs/>
        </w:rPr>
      </w:pPr>
      <w:r w:rsidRPr="00F55CC4">
        <w:rPr>
          <w:i/>
          <w:iCs/>
        </w:rPr>
        <w:t>Clarifications:</w:t>
      </w:r>
    </w:p>
    <w:p w14:paraId="61DFA7BA" w14:textId="51BCBD85" w:rsidR="00460963" w:rsidRPr="00F55CC4" w:rsidRDefault="00460963" w:rsidP="00836281">
      <w:pPr>
        <w:pStyle w:val="BodyText1"/>
        <w:numPr>
          <w:ilvl w:val="0"/>
          <w:numId w:val="27"/>
        </w:numPr>
        <w:spacing w:after="0"/>
        <w:rPr>
          <w:i/>
          <w:iCs/>
        </w:rPr>
      </w:pPr>
      <w:r w:rsidRPr="00F55CC4">
        <w:rPr>
          <w:i/>
          <w:iCs/>
        </w:rPr>
        <w:t xml:space="preserve">Fish populations: we include species currently present, but also consider niches that are currently vacant (e.g., large predators), regardless of the species that used to fill these niches </w:t>
      </w:r>
      <w:proofErr w:type="gramStart"/>
      <w:r w:rsidRPr="00F55CC4">
        <w:rPr>
          <w:i/>
          <w:iCs/>
        </w:rPr>
        <w:t>historically;</w:t>
      </w:r>
      <w:proofErr w:type="gramEnd"/>
    </w:p>
    <w:p w14:paraId="5C32817B" w14:textId="50BF7EB7" w:rsidR="00460963" w:rsidRPr="00F55CC4" w:rsidRDefault="00460963" w:rsidP="00836281">
      <w:pPr>
        <w:pStyle w:val="BodyText1"/>
        <w:numPr>
          <w:ilvl w:val="0"/>
          <w:numId w:val="27"/>
        </w:numPr>
        <w:spacing w:after="0"/>
        <w:rPr>
          <w:i/>
          <w:iCs/>
        </w:rPr>
      </w:pPr>
      <w:r w:rsidRPr="00F55CC4">
        <w:rPr>
          <w:i/>
          <w:iCs/>
        </w:rPr>
        <w:t xml:space="preserve">Ecosystem functions: e.g., food for birds and mammals in the </w:t>
      </w:r>
      <w:proofErr w:type="spellStart"/>
      <w:r w:rsidRPr="00F55CC4">
        <w:rPr>
          <w:i/>
          <w:iCs/>
        </w:rPr>
        <w:t>Wadden</w:t>
      </w:r>
      <w:proofErr w:type="spellEnd"/>
      <w:r w:rsidRPr="00F55CC4">
        <w:rPr>
          <w:i/>
          <w:iCs/>
        </w:rPr>
        <w:t xml:space="preserve"> </w:t>
      </w:r>
      <w:proofErr w:type="gramStart"/>
      <w:r w:rsidRPr="00F55CC4">
        <w:rPr>
          <w:i/>
          <w:iCs/>
        </w:rPr>
        <w:t>Sea;</w:t>
      </w:r>
      <w:proofErr w:type="gramEnd"/>
    </w:p>
    <w:p w14:paraId="189E2FA4" w14:textId="5D6D25CB" w:rsidR="00460963" w:rsidRPr="00F55CC4" w:rsidRDefault="00460963" w:rsidP="00836281">
      <w:pPr>
        <w:pStyle w:val="BodyText1"/>
        <w:numPr>
          <w:ilvl w:val="0"/>
          <w:numId w:val="27"/>
        </w:numPr>
        <w:spacing w:after="0"/>
        <w:rPr>
          <w:i/>
          <w:iCs/>
        </w:rPr>
      </w:pPr>
      <w:r w:rsidRPr="00F55CC4">
        <w:rPr>
          <w:i/>
          <w:iCs/>
        </w:rPr>
        <w:t xml:space="preserve">Maintain or </w:t>
      </w:r>
      <w:proofErr w:type="gramStart"/>
      <w:r w:rsidRPr="00F55CC4">
        <w:rPr>
          <w:i/>
          <w:iCs/>
        </w:rPr>
        <w:t>improve:</w:t>
      </w:r>
      <w:proofErr w:type="gramEnd"/>
      <w:r w:rsidRPr="00F55CC4">
        <w:rPr>
          <w:i/>
          <w:iCs/>
        </w:rPr>
        <w:t xml:space="preserve"> requires an evaluation beforehand;</w:t>
      </w:r>
    </w:p>
    <w:p w14:paraId="079665E5" w14:textId="3F4FCB7E" w:rsidR="00460963" w:rsidRPr="00F55CC4" w:rsidRDefault="00460963" w:rsidP="00836281">
      <w:pPr>
        <w:pStyle w:val="BodyText1"/>
        <w:numPr>
          <w:ilvl w:val="0"/>
          <w:numId w:val="27"/>
        </w:numPr>
        <w:spacing w:after="0"/>
        <w:rPr>
          <w:i/>
          <w:iCs/>
        </w:rPr>
      </w:pPr>
      <w:r w:rsidRPr="00F55CC4">
        <w:rPr>
          <w:i/>
          <w:iCs/>
        </w:rPr>
        <w:t xml:space="preserve">Robust: can withstand extreme </w:t>
      </w:r>
      <w:proofErr w:type="gramStart"/>
      <w:r w:rsidRPr="00F55CC4">
        <w:rPr>
          <w:i/>
          <w:iCs/>
        </w:rPr>
        <w:t>events;</w:t>
      </w:r>
      <w:proofErr w:type="gramEnd"/>
    </w:p>
    <w:p w14:paraId="2FCFC853" w14:textId="733E6614" w:rsidR="00460963" w:rsidRPr="00F55CC4" w:rsidRDefault="00460963" w:rsidP="00836281">
      <w:pPr>
        <w:pStyle w:val="BodyText1"/>
        <w:numPr>
          <w:ilvl w:val="0"/>
          <w:numId w:val="27"/>
        </w:numPr>
        <w:spacing w:after="0"/>
        <w:rPr>
          <w:i/>
          <w:iCs/>
        </w:rPr>
      </w:pPr>
      <w:r w:rsidRPr="00F55CC4">
        <w:rPr>
          <w:i/>
          <w:iCs/>
        </w:rPr>
        <w:t xml:space="preserve">Viable: </w:t>
      </w:r>
      <w:proofErr w:type="gramStart"/>
      <w:r w:rsidRPr="00F55CC4">
        <w:rPr>
          <w:i/>
          <w:iCs/>
        </w:rPr>
        <w:t>self-sustaining;</w:t>
      </w:r>
      <w:proofErr w:type="gramEnd"/>
    </w:p>
    <w:p w14:paraId="5144F297" w14:textId="3BDF0E25" w:rsidR="00460963" w:rsidRPr="00F55CC4" w:rsidRDefault="00460963" w:rsidP="00836281">
      <w:pPr>
        <w:pStyle w:val="BodyText1"/>
        <w:numPr>
          <w:ilvl w:val="0"/>
          <w:numId w:val="27"/>
        </w:numPr>
        <w:spacing w:after="0"/>
        <w:rPr>
          <w:i/>
          <w:iCs/>
        </w:rPr>
      </w:pPr>
      <w:r w:rsidRPr="00F55CC4">
        <w:rPr>
          <w:i/>
          <w:iCs/>
        </w:rPr>
        <w:t>Diversity of habitats required for diversity of species and functions (e.g., spawning, nursery</w:t>
      </w:r>
      <w:proofErr w:type="gramStart"/>
      <w:r w:rsidRPr="00F55CC4">
        <w:rPr>
          <w:i/>
          <w:iCs/>
        </w:rPr>
        <w:t>);</w:t>
      </w:r>
      <w:proofErr w:type="gramEnd"/>
    </w:p>
    <w:p w14:paraId="5D1B6DE9" w14:textId="772E6519" w:rsidR="00460963" w:rsidRPr="00F55CC4" w:rsidRDefault="00460963" w:rsidP="00836281">
      <w:pPr>
        <w:pStyle w:val="BodyText1"/>
        <w:numPr>
          <w:ilvl w:val="0"/>
          <w:numId w:val="27"/>
        </w:numPr>
        <w:rPr>
          <w:i/>
          <w:iCs/>
        </w:rPr>
      </w:pPr>
      <w:r w:rsidRPr="00F55CC4">
        <w:rPr>
          <w:i/>
          <w:iCs/>
        </w:rPr>
        <w:t>Endangered: As evaluated by national red lists.</w:t>
      </w:r>
    </w:p>
    <w:p w14:paraId="6A9EE95F" w14:textId="154CAB03" w:rsidR="00460963" w:rsidRDefault="00460963" w:rsidP="00460963">
      <w:pPr>
        <w:pStyle w:val="BodyText1"/>
        <w:ind w:left="360"/>
        <w:rPr>
          <w:i/>
          <w:iCs/>
        </w:rPr>
      </w:pPr>
      <w:r w:rsidRPr="00F55CC4">
        <w:rPr>
          <w:i/>
          <w:iCs/>
        </w:rPr>
        <w:t xml:space="preserve">The next step is to formulate quantitative and testable sub-targets for each target. These sub-targets must focus on fish parameters that are influenced by (manageable) human activities. At this stage, knowledge on human impacts, population dynamics and ecology of typical </w:t>
      </w:r>
      <w:proofErr w:type="spellStart"/>
      <w:r w:rsidRPr="00F55CC4">
        <w:rPr>
          <w:i/>
          <w:iCs/>
        </w:rPr>
        <w:t>Wadden</w:t>
      </w:r>
      <w:proofErr w:type="spellEnd"/>
      <w:r w:rsidRPr="00F55CC4">
        <w:rPr>
          <w:i/>
          <w:iCs/>
        </w:rPr>
        <w:t xml:space="preserve"> Sea fish species is too limited to enable quantitative sub-targets. The recommendations on research (see below) aim at acquiring sufficient knowledge to enable setting such quantitative sub-targets in the future.</w:t>
      </w:r>
      <w:r w:rsidR="00F55CC4">
        <w:rPr>
          <w:i/>
          <w:iCs/>
        </w:rPr>
        <w:t>”</w:t>
      </w:r>
    </w:p>
    <w:p w14:paraId="62398A38" w14:textId="77777777" w:rsidR="008D0EFB" w:rsidRDefault="008D0EFB" w:rsidP="00836281">
      <w:pPr>
        <w:pStyle w:val="BodyText1"/>
        <w:rPr>
          <w:b/>
          <w:bCs/>
        </w:rPr>
      </w:pPr>
    </w:p>
    <w:p w14:paraId="3AF03DF0" w14:textId="326B877D" w:rsidR="00836281" w:rsidRDefault="00836281" w:rsidP="00836281">
      <w:pPr>
        <w:pStyle w:val="BodyText1"/>
        <w:rPr>
          <w:b/>
          <w:bCs/>
        </w:rPr>
      </w:pPr>
      <w:r w:rsidRPr="00836281">
        <w:rPr>
          <w:b/>
          <w:bCs/>
        </w:rPr>
        <w:t xml:space="preserve">Trilateral </w:t>
      </w:r>
      <w:proofErr w:type="spellStart"/>
      <w:r w:rsidRPr="00836281">
        <w:rPr>
          <w:b/>
          <w:bCs/>
        </w:rPr>
        <w:t>Wadden</w:t>
      </w:r>
      <w:proofErr w:type="spellEnd"/>
      <w:r w:rsidRPr="00836281">
        <w:rPr>
          <w:b/>
          <w:bCs/>
        </w:rPr>
        <w:t xml:space="preserve"> Sea </w:t>
      </w:r>
      <w:proofErr w:type="spellStart"/>
      <w:r w:rsidRPr="00836281">
        <w:rPr>
          <w:b/>
          <w:bCs/>
        </w:rPr>
        <w:t>Swimway</w:t>
      </w:r>
      <w:proofErr w:type="spellEnd"/>
      <w:r w:rsidRPr="00836281">
        <w:rPr>
          <w:b/>
          <w:bCs/>
        </w:rPr>
        <w:t xml:space="preserve"> Vision</w:t>
      </w:r>
      <w:r>
        <w:rPr>
          <w:b/>
          <w:bCs/>
        </w:rPr>
        <w:t xml:space="preserve"> </w:t>
      </w:r>
      <w:r w:rsidRPr="00836281">
        <w:rPr>
          <w:b/>
          <w:bCs/>
        </w:rPr>
        <w:t xml:space="preserve">Action </w:t>
      </w:r>
      <w:proofErr w:type="spellStart"/>
      <w:r w:rsidRPr="00836281">
        <w:rPr>
          <w:b/>
          <w:bCs/>
        </w:rPr>
        <w:t>Programme</w:t>
      </w:r>
      <w:proofErr w:type="spellEnd"/>
      <w:r w:rsidRPr="00836281">
        <w:rPr>
          <w:b/>
          <w:bCs/>
        </w:rPr>
        <w:t xml:space="preserve"> </w:t>
      </w:r>
    </w:p>
    <w:p w14:paraId="097FFA26" w14:textId="0A21B7BA" w:rsidR="00836281" w:rsidRDefault="00836281" w:rsidP="00836281">
      <w:pPr>
        <w:pStyle w:val="BodyText1"/>
      </w:pPr>
      <w:r w:rsidRPr="00836281">
        <w:t xml:space="preserve">This </w:t>
      </w:r>
      <w:hyperlink r:id="rId15" w:history="1">
        <w:r w:rsidRPr="00836281">
          <w:rPr>
            <w:rStyle w:val="Hyperlink"/>
          </w:rPr>
          <w:t xml:space="preserve">action </w:t>
        </w:r>
        <w:proofErr w:type="spellStart"/>
        <w:r w:rsidRPr="00836281">
          <w:rPr>
            <w:rStyle w:val="Hyperlink"/>
          </w:rPr>
          <w:t>programme</w:t>
        </w:r>
        <w:proofErr w:type="spellEnd"/>
      </w:hyperlink>
      <w:r w:rsidRPr="00836281">
        <w:t xml:space="preserve"> is written by a trilateral coordination team. It describes actions suitable to improve knowledge on relevant processes, optimize population monitoring, adjust </w:t>
      </w:r>
      <w:proofErr w:type="gramStart"/>
      <w:r w:rsidRPr="00836281">
        <w:t>policies</w:t>
      </w:r>
      <w:proofErr w:type="gramEnd"/>
      <w:r w:rsidRPr="00836281">
        <w:t xml:space="preserve"> and develop, </w:t>
      </w:r>
      <w:proofErr w:type="spellStart"/>
      <w:r w:rsidRPr="00836281">
        <w:t>realise</w:t>
      </w:r>
      <w:proofErr w:type="spellEnd"/>
      <w:r w:rsidRPr="00836281">
        <w:t xml:space="preserve"> and evaluate measures towards reaching the Trilateral Fish Targets. Therefore, activities such as coordinating, facilitating collaboration, fundraising and project development are part of this action </w:t>
      </w:r>
      <w:proofErr w:type="spellStart"/>
      <w:r w:rsidRPr="00836281">
        <w:t>programme</w:t>
      </w:r>
      <w:proofErr w:type="spellEnd"/>
      <w:r w:rsidRPr="00836281">
        <w:t xml:space="preserve">. Collaboration with existing activities and </w:t>
      </w:r>
      <w:proofErr w:type="spellStart"/>
      <w:r w:rsidRPr="00836281">
        <w:t>programmes</w:t>
      </w:r>
      <w:proofErr w:type="spellEnd"/>
      <w:r w:rsidRPr="00836281">
        <w:t xml:space="preserve"> that address the Fish Targets is a prerequisite for success. Communication and education are also key elements of the SWIMWAY </w:t>
      </w:r>
      <w:proofErr w:type="spellStart"/>
      <w:r w:rsidRPr="00836281">
        <w:t>Programme</w:t>
      </w:r>
      <w:proofErr w:type="spellEnd"/>
      <w:r w:rsidRPr="00836281">
        <w:t xml:space="preserve">, helping to increase public awareness to facilitate holistic, ecosystem- and evidence-based fish conservation in the </w:t>
      </w:r>
      <w:proofErr w:type="spellStart"/>
      <w:r w:rsidRPr="00836281">
        <w:t>Wadden</w:t>
      </w:r>
      <w:proofErr w:type="spellEnd"/>
      <w:r w:rsidRPr="00836281">
        <w:t xml:space="preserve"> Sea. </w:t>
      </w:r>
    </w:p>
    <w:p w14:paraId="6D1EE719" w14:textId="1E06E4B0" w:rsidR="000051F4" w:rsidRDefault="000051F4">
      <w:pPr>
        <w:rPr>
          <w:sz w:val="22"/>
          <w:szCs w:val="22"/>
        </w:rPr>
      </w:pPr>
      <w:r>
        <w:rPr>
          <w:sz w:val="22"/>
          <w:szCs w:val="22"/>
        </w:rPr>
        <w:br w:type="page"/>
      </w:r>
    </w:p>
    <w:p w14:paraId="16EDC058" w14:textId="77FC833F" w:rsidR="000051F4" w:rsidRDefault="000051F4" w:rsidP="00856BB2">
      <w:pPr>
        <w:pStyle w:val="Header2"/>
        <w:rPr>
          <w:b w:val="0"/>
          <w:sz w:val="28"/>
        </w:rPr>
      </w:pPr>
      <w:r>
        <w:rPr>
          <w:b w:val="0"/>
          <w:sz w:val="28"/>
        </w:rPr>
        <w:lastRenderedPageBreak/>
        <w:t>Annex</w:t>
      </w:r>
      <w:r w:rsidR="00856BB2">
        <w:rPr>
          <w:b w:val="0"/>
          <w:sz w:val="28"/>
        </w:rPr>
        <w:t xml:space="preserve"> 1 Terms of Reference EG-</w:t>
      </w:r>
      <w:proofErr w:type="spellStart"/>
      <w:r w:rsidR="00856BB2">
        <w:rPr>
          <w:b w:val="0"/>
          <w:sz w:val="28"/>
        </w:rPr>
        <w:t>Swimway</w:t>
      </w:r>
      <w:proofErr w:type="spellEnd"/>
    </w:p>
    <w:p w14:paraId="2D43EFD0" w14:textId="518B6AEE" w:rsidR="00856BB2" w:rsidRDefault="00856BB2" w:rsidP="00856BB2">
      <w:pPr>
        <w:pStyle w:val="BodyText1"/>
      </w:pPr>
      <w:r w:rsidRPr="00856BB2">
        <w:t>2021 – 2024</w:t>
      </w:r>
    </w:p>
    <w:p w14:paraId="3C1B17A4" w14:textId="77777777" w:rsidR="00856BB2" w:rsidRPr="00856BB2" w:rsidRDefault="00856BB2" w:rsidP="00856BB2">
      <w:pPr>
        <w:pStyle w:val="BodyText1"/>
        <w:rPr>
          <w:b/>
          <w:bCs/>
        </w:rPr>
      </w:pPr>
      <w:r w:rsidRPr="00856BB2">
        <w:rPr>
          <w:b/>
          <w:bCs/>
        </w:rPr>
        <w:t>Background</w:t>
      </w:r>
    </w:p>
    <w:p w14:paraId="7666C6D7" w14:textId="77777777" w:rsidR="00856BB2" w:rsidRPr="00856BB2" w:rsidRDefault="00856BB2" w:rsidP="00856BB2">
      <w:pPr>
        <w:pStyle w:val="BodyText1"/>
      </w:pPr>
      <w:r w:rsidRPr="00856BB2">
        <w:t xml:space="preserve">At the Ministerial Council Meetings in 2014 and 2018, Denmark, Germany and the Netherlands stated and decided to work on the further implementation of the five Trilateral Fish Targets as laid down in the </w:t>
      </w:r>
      <w:proofErr w:type="spellStart"/>
      <w:r w:rsidRPr="00856BB2">
        <w:t>Wadden</w:t>
      </w:r>
      <w:proofErr w:type="spellEnd"/>
      <w:r w:rsidRPr="00856BB2">
        <w:t xml:space="preserve"> Sea Plan 2010. To that effect, the trilateral </w:t>
      </w:r>
      <w:proofErr w:type="spellStart"/>
      <w:r w:rsidRPr="00856BB2">
        <w:t>Swimway</w:t>
      </w:r>
      <w:proofErr w:type="spellEnd"/>
      <w:r w:rsidRPr="00856BB2">
        <w:t xml:space="preserve"> Vision 2018-2024 was approved by the ministers at the 13th Governmental Conference on the protection of the </w:t>
      </w:r>
      <w:proofErr w:type="spellStart"/>
      <w:r w:rsidRPr="00856BB2">
        <w:t>Wadden</w:t>
      </w:r>
      <w:proofErr w:type="spellEnd"/>
      <w:r w:rsidRPr="00856BB2">
        <w:t xml:space="preserve"> Sea on 18 May 2018 in Leeuwarden, NL, and the Trilateral </w:t>
      </w:r>
      <w:proofErr w:type="spellStart"/>
      <w:r w:rsidRPr="00856BB2">
        <w:t>Wadden</w:t>
      </w:r>
      <w:proofErr w:type="spellEnd"/>
      <w:r w:rsidRPr="00856BB2">
        <w:t xml:space="preserve"> Sea </w:t>
      </w:r>
      <w:proofErr w:type="spellStart"/>
      <w:r w:rsidRPr="00856BB2">
        <w:t>Swimway</w:t>
      </w:r>
      <w:proofErr w:type="spellEnd"/>
      <w:r w:rsidRPr="00856BB2">
        <w:t xml:space="preserve"> Vision Action </w:t>
      </w:r>
      <w:proofErr w:type="spellStart"/>
      <w:r w:rsidRPr="00856BB2">
        <w:t>Programme</w:t>
      </w:r>
      <w:proofErr w:type="spellEnd"/>
      <w:r w:rsidRPr="00856BB2">
        <w:t xml:space="preserve"> as adopted by the </w:t>
      </w:r>
      <w:proofErr w:type="spellStart"/>
      <w:r w:rsidRPr="00856BB2">
        <w:t>Wadden</w:t>
      </w:r>
      <w:proofErr w:type="spellEnd"/>
      <w:r w:rsidRPr="00856BB2">
        <w:t xml:space="preserve"> </w:t>
      </w:r>
      <w:proofErr w:type="gramStart"/>
      <w:r w:rsidRPr="00856BB2">
        <w:t>Sea Board</w:t>
      </w:r>
      <w:proofErr w:type="gramEnd"/>
      <w:r w:rsidRPr="00856BB2">
        <w:t xml:space="preserve"> (WSB) at WSB28. EG </w:t>
      </w:r>
      <w:proofErr w:type="spellStart"/>
      <w:r w:rsidRPr="00856BB2">
        <w:t>Swimway</w:t>
      </w:r>
      <w:proofErr w:type="spellEnd"/>
      <w:r w:rsidRPr="00856BB2">
        <w:t xml:space="preserve"> reports to the Common </w:t>
      </w:r>
      <w:proofErr w:type="spellStart"/>
      <w:r w:rsidRPr="00856BB2">
        <w:t>Wadden</w:t>
      </w:r>
      <w:proofErr w:type="spellEnd"/>
      <w:r w:rsidRPr="00856BB2">
        <w:t xml:space="preserve"> Sea Secretariat (CWSS) and to the Task Groups Management (TG-M) and Monitoring and Assessment (TG-MA) if appropriate. The implementation of the Framework Sustainable Fisheries and other issues related to fisheries are excluded from the scope of work for this Expert Group.</w:t>
      </w:r>
    </w:p>
    <w:p w14:paraId="6C91FC8F" w14:textId="418D3842" w:rsidR="00856BB2" w:rsidRDefault="00856BB2" w:rsidP="00856BB2">
      <w:pPr>
        <w:pStyle w:val="BodyText1"/>
      </w:pPr>
      <w:r w:rsidRPr="00856BB2">
        <w:t xml:space="preserve">In fulfilling its mandate, this group will duly </w:t>
      </w:r>
      <w:proofErr w:type="gramStart"/>
      <w:r w:rsidRPr="00856BB2">
        <w:t>take into account</w:t>
      </w:r>
      <w:proofErr w:type="gramEnd"/>
      <w:r w:rsidRPr="00856BB2">
        <w:t xml:space="preserve"> and seek to promote the achievement of the United Nations Sustainable Development Goals (SDG).</w:t>
      </w:r>
    </w:p>
    <w:p w14:paraId="629B4E7F" w14:textId="77777777" w:rsidR="00856BB2" w:rsidRPr="00856BB2" w:rsidRDefault="00856BB2" w:rsidP="00856BB2">
      <w:pPr>
        <w:pStyle w:val="BodyText1"/>
        <w:rPr>
          <w:b/>
          <w:bCs/>
        </w:rPr>
      </w:pPr>
      <w:r w:rsidRPr="00856BB2">
        <w:rPr>
          <w:b/>
          <w:bCs/>
        </w:rPr>
        <w:t>Objective</w:t>
      </w:r>
    </w:p>
    <w:p w14:paraId="61B4094D" w14:textId="7906743B" w:rsidR="00856BB2" w:rsidRDefault="00856BB2" w:rsidP="00856BB2">
      <w:pPr>
        <w:pStyle w:val="BodyText1"/>
      </w:pPr>
      <w:r w:rsidRPr="00856BB2">
        <w:t xml:space="preserve">The overarching goal of the group is to contribute to improving the situation for fish in the </w:t>
      </w:r>
      <w:proofErr w:type="spellStart"/>
      <w:r w:rsidRPr="00856BB2">
        <w:t>Wadden</w:t>
      </w:r>
      <w:proofErr w:type="spellEnd"/>
      <w:r w:rsidRPr="00856BB2">
        <w:t xml:space="preserve"> Sea. This goal is to be achieved by fostering trilateral collaboration on the implementation of the trilateral fish targets as laid down in the WSP 2010 and to provide an overarching SWIMWAY approach as umbrella for initiatives related to achieving the targets according to the </w:t>
      </w:r>
      <w:proofErr w:type="spellStart"/>
      <w:r w:rsidRPr="00856BB2">
        <w:t>Swimway</w:t>
      </w:r>
      <w:proofErr w:type="spellEnd"/>
      <w:r w:rsidRPr="00856BB2">
        <w:t xml:space="preserve"> Vision Action </w:t>
      </w:r>
      <w:proofErr w:type="spellStart"/>
      <w:r w:rsidRPr="00856BB2">
        <w:t>Programme</w:t>
      </w:r>
      <w:proofErr w:type="spellEnd"/>
      <w:r w:rsidRPr="00856BB2">
        <w:t xml:space="preserve"> and its four pillars: research and monitoring; policy; measures and stakeholder involvement, </w:t>
      </w:r>
      <w:proofErr w:type="gramStart"/>
      <w:r w:rsidRPr="00856BB2">
        <w:t>communication</w:t>
      </w:r>
      <w:proofErr w:type="gramEnd"/>
      <w:r w:rsidRPr="00856BB2">
        <w:t xml:space="preserve"> and education.</w:t>
      </w:r>
    </w:p>
    <w:p w14:paraId="3D940761" w14:textId="77777777" w:rsidR="00856BB2" w:rsidRPr="00856BB2" w:rsidRDefault="00856BB2" w:rsidP="00856BB2">
      <w:pPr>
        <w:pStyle w:val="BodyText1"/>
        <w:rPr>
          <w:b/>
          <w:bCs/>
        </w:rPr>
      </w:pPr>
      <w:r w:rsidRPr="00856BB2">
        <w:rPr>
          <w:b/>
          <w:bCs/>
        </w:rPr>
        <w:t>Tasks</w:t>
      </w:r>
    </w:p>
    <w:p w14:paraId="72EBDC8B" w14:textId="77777777" w:rsidR="00856BB2" w:rsidRPr="00856BB2" w:rsidRDefault="00856BB2" w:rsidP="00856BB2">
      <w:pPr>
        <w:pStyle w:val="BodyText1"/>
      </w:pPr>
      <w:r w:rsidRPr="00856BB2">
        <w:t xml:space="preserve">(1) Develop, initiate, /support, document existing projects and evaluate activities targeted at improving the situation for fish in the </w:t>
      </w:r>
      <w:proofErr w:type="spellStart"/>
      <w:r w:rsidRPr="00856BB2">
        <w:t>Wadden</w:t>
      </w:r>
      <w:proofErr w:type="spellEnd"/>
      <w:r w:rsidRPr="00856BB2">
        <w:t xml:space="preserve"> Sea. Activities concern research, monitoring, conservation and restoration measures, capacity building, development of best practices, education and </w:t>
      </w:r>
      <w:proofErr w:type="gramStart"/>
      <w:r w:rsidRPr="00856BB2">
        <w:t>advice;</w:t>
      </w:r>
      <w:proofErr w:type="gramEnd"/>
    </w:p>
    <w:p w14:paraId="5D78A533" w14:textId="77777777" w:rsidR="00856BB2" w:rsidRPr="00856BB2" w:rsidRDefault="00856BB2" w:rsidP="00856BB2">
      <w:pPr>
        <w:pStyle w:val="BodyText1"/>
      </w:pPr>
      <w:r w:rsidRPr="00856BB2">
        <w:t xml:space="preserve">(2) Exchange on national monitoring </w:t>
      </w:r>
      <w:proofErr w:type="spellStart"/>
      <w:r w:rsidRPr="00856BB2">
        <w:t>programmes</w:t>
      </w:r>
      <w:proofErr w:type="spellEnd"/>
      <w:r w:rsidRPr="00856BB2">
        <w:t xml:space="preserve"> and development of a possible future (harmonized) trilateral fish monitoring </w:t>
      </w:r>
      <w:proofErr w:type="spellStart"/>
      <w:r w:rsidRPr="00856BB2">
        <w:t>programme</w:t>
      </w:r>
      <w:proofErr w:type="spellEnd"/>
      <w:r w:rsidRPr="00856BB2">
        <w:t xml:space="preserve"> as part of the Trilateral Monitoring and Assessment </w:t>
      </w:r>
      <w:proofErr w:type="spellStart"/>
      <w:r w:rsidRPr="00856BB2">
        <w:t>Programme</w:t>
      </w:r>
      <w:proofErr w:type="spellEnd"/>
      <w:r w:rsidRPr="00856BB2">
        <w:t xml:space="preserve"> (TMAP), including the promotion of complementary research </w:t>
      </w:r>
      <w:proofErr w:type="spellStart"/>
      <w:proofErr w:type="gramStart"/>
      <w:r w:rsidRPr="00856BB2">
        <w:t>programmes</w:t>
      </w:r>
      <w:proofErr w:type="spellEnd"/>
      <w:r w:rsidRPr="00856BB2">
        <w:t>;</w:t>
      </w:r>
      <w:proofErr w:type="gramEnd"/>
    </w:p>
    <w:p w14:paraId="78667429" w14:textId="77777777" w:rsidR="00856BB2" w:rsidRPr="00856BB2" w:rsidRDefault="00856BB2" w:rsidP="00856BB2">
      <w:pPr>
        <w:pStyle w:val="BodyText1"/>
      </w:pPr>
      <w:r w:rsidRPr="00856BB2">
        <w:t xml:space="preserve">(3) Overseeing progress towards reaching the trilateral fish targets under the Trilateral </w:t>
      </w:r>
      <w:proofErr w:type="spellStart"/>
      <w:r w:rsidRPr="00856BB2">
        <w:t>Wadden</w:t>
      </w:r>
      <w:proofErr w:type="spellEnd"/>
      <w:r w:rsidRPr="00856BB2">
        <w:t xml:space="preserve"> Sea Cooperation (TWSC), in particular by liaising with and/or participating in relevant actions to improve the conservation status of </w:t>
      </w:r>
      <w:proofErr w:type="spellStart"/>
      <w:r w:rsidRPr="00856BB2">
        <w:t>Wadden</w:t>
      </w:r>
      <w:proofErr w:type="spellEnd"/>
      <w:r w:rsidRPr="00856BB2">
        <w:t xml:space="preserve"> Sea fish, such as national and international research projects and action </w:t>
      </w:r>
      <w:proofErr w:type="gramStart"/>
      <w:r w:rsidRPr="00856BB2">
        <w:t>plans;</w:t>
      </w:r>
      <w:proofErr w:type="gramEnd"/>
    </w:p>
    <w:p w14:paraId="0D83328C" w14:textId="77777777" w:rsidR="00856BB2" w:rsidRPr="00856BB2" w:rsidRDefault="00856BB2" w:rsidP="00856BB2">
      <w:pPr>
        <w:pStyle w:val="BodyText1"/>
      </w:pPr>
      <w:r w:rsidRPr="00856BB2">
        <w:t xml:space="preserve">(4) Conduct regular assessments based on the monitoring </w:t>
      </w:r>
      <w:proofErr w:type="spellStart"/>
      <w:r w:rsidRPr="00856BB2">
        <w:t>programme</w:t>
      </w:r>
      <w:proofErr w:type="spellEnd"/>
      <w:r w:rsidRPr="00856BB2">
        <w:t xml:space="preserve"> and relevant, scientific </w:t>
      </w:r>
      <w:proofErr w:type="spellStart"/>
      <w:r w:rsidRPr="00856BB2">
        <w:t>programmes</w:t>
      </w:r>
      <w:proofErr w:type="spellEnd"/>
      <w:r w:rsidRPr="00856BB2">
        <w:t xml:space="preserve"> </w:t>
      </w:r>
      <w:proofErr w:type="gramStart"/>
      <w:r w:rsidRPr="00856BB2">
        <w:t>in order to</w:t>
      </w:r>
      <w:proofErr w:type="gramEnd"/>
      <w:r w:rsidRPr="00856BB2">
        <w:t xml:space="preserve"> provide advice to management relevant for fish life cycles in the </w:t>
      </w:r>
      <w:proofErr w:type="spellStart"/>
      <w:r w:rsidRPr="00856BB2">
        <w:t>Wadden</w:t>
      </w:r>
      <w:proofErr w:type="spellEnd"/>
      <w:r w:rsidRPr="00856BB2">
        <w:t xml:space="preserve"> Sea. Contribution to and update of the thematic report on fish of the Quality Status Report (QSR</w:t>
      </w:r>
      <w:proofErr w:type="gramStart"/>
      <w:r w:rsidRPr="00856BB2">
        <w:t>);</w:t>
      </w:r>
      <w:proofErr w:type="gramEnd"/>
    </w:p>
    <w:p w14:paraId="7D36DCD4" w14:textId="77777777" w:rsidR="00856BB2" w:rsidRPr="00856BB2" w:rsidRDefault="00856BB2" w:rsidP="00856BB2">
      <w:pPr>
        <w:pStyle w:val="BodyText1"/>
      </w:pPr>
      <w:r w:rsidRPr="00856BB2">
        <w:t xml:space="preserve">(5) Define a concept for a forum to stimulate and support exchange of information on </w:t>
      </w:r>
      <w:proofErr w:type="spellStart"/>
      <w:r w:rsidRPr="00856BB2">
        <w:t>Wadden</w:t>
      </w:r>
      <w:proofErr w:type="spellEnd"/>
      <w:r w:rsidRPr="00856BB2">
        <w:t xml:space="preserve"> Sea fish, and for coordination with other, EU – wide or global SWIMWAY and related </w:t>
      </w:r>
      <w:proofErr w:type="gramStart"/>
      <w:r w:rsidRPr="00856BB2">
        <w:t>activities;</w:t>
      </w:r>
      <w:proofErr w:type="gramEnd"/>
    </w:p>
    <w:p w14:paraId="07A5E144" w14:textId="1246B7FD" w:rsidR="00856BB2" w:rsidRDefault="00856BB2" w:rsidP="00856BB2">
      <w:pPr>
        <w:pStyle w:val="BodyText1"/>
      </w:pPr>
      <w:r w:rsidRPr="00856BB2">
        <w:t xml:space="preserve">(6) Promote communication of its work and actions to other national, </w:t>
      </w:r>
      <w:proofErr w:type="gramStart"/>
      <w:r w:rsidRPr="00856BB2">
        <w:t>trilateral</w:t>
      </w:r>
      <w:proofErr w:type="gramEnd"/>
      <w:r w:rsidRPr="00856BB2">
        <w:t xml:space="preserve"> and international groups as part of the communication work of the TWSC via CWSS, including organization of </w:t>
      </w:r>
      <w:proofErr w:type="spellStart"/>
      <w:r w:rsidRPr="00856BB2">
        <w:t>Swimway</w:t>
      </w:r>
      <w:proofErr w:type="spellEnd"/>
      <w:r w:rsidRPr="00856BB2">
        <w:t xml:space="preserve"> conferences.</w:t>
      </w:r>
    </w:p>
    <w:p w14:paraId="4816B4C9" w14:textId="77777777" w:rsidR="00856BB2" w:rsidRPr="00856BB2" w:rsidRDefault="00856BB2" w:rsidP="00856BB2">
      <w:pPr>
        <w:pStyle w:val="BodyText1"/>
      </w:pPr>
      <w:r w:rsidRPr="00856BB2">
        <w:t xml:space="preserve">(7) Coordination and implementation of the </w:t>
      </w:r>
      <w:proofErr w:type="spellStart"/>
      <w:r w:rsidRPr="00856BB2">
        <w:t>Swimway</w:t>
      </w:r>
      <w:proofErr w:type="spellEnd"/>
      <w:r w:rsidRPr="00856BB2">
        <w:t xml:space="preserve"> Vision and Action </w:t>
      </w:r>
      <w:proofErr w:type="spellStart"/>
      <w:r w:rsidRPr="00856BB2">
        <w:t>Programme</w:t>
      </w:r>
      <w:proofErr w:type="spellEnd"/>
      <w:r w:rsidRPr="00856BB2">
        <w:t xml:space="preserve">; including elaborating recommendations of the </w:t>
      </w:r>
      <w:proofErr w:type="spellStart"/>
      <w:r w:rsidRPr="00856BB2">
        <w:t>Swimway</w:t>
      </w:r>
      <w:proofErr w:type="spellEnd"/>
      <w:r w:rsidRPr="00856BB2">
        <w:t xml:space="preserve"> policy review.</w:t>
      </w:r>
    </w:p>
    <w:p w14:paraId="3E0D3130" w14:textId="024301C1" w:rsidR="00856BB2" w:rsidRDefault="00856BB2" w:rsidP="00856BB2">
      <w:pPr>
        <w:pStyle w:val="BodyText1"/>
      </w:pPr>
      <w:r w:rsidRPr="00856BB2">
        <w:t xml:space="preserve">(8) Acquisition of collaborative projects with relevance to the SWIMWAY vision and action </w:t>
      </w:r>
      <w:proofErr w:type="spellStart"/>
      <w:r w:rsidRPr="00856BB2">
        <w:t>programme</w:t>
      </w:r>
      <w:proofErr w:type="spellEnd"/>
      <w:r w:rsidRPr="00856BB2">
        <w:t xml:space="preserve">, such as joint research projects, including an early exchange of </w:t>
      </w:r>
      <w:proofErr w:type="gramStart"/>
      <w:r w:rsidRPr="00856BB2">
        <w:t>information;</w:t>
      </w:r>
      <w:proofErr w:type="gramEnd"/>
    </w:p>
    <w:p w14:paraId="73D42CF4" w14:textId="77777777" w:rsidR="00856BB2" w:rsidRPr="00856BB2" w:rsidRDefault="00856BB2" w:rsidP="00856BB2">
      <w:pPr>
        <w:pStyle w:val="BodyText1"/>
        <w:rPr>
          <w:b/>
          <w:bCs/>
        </w:rPr>
      </w:pPr>
      <w:r w:rsidRPr="00856BB2">
        <w:rPr>
          <w:b/>
          <w:bCs/>
        </w:rPr>
        <w:lastRenderedPageBreak/>
        <w:t>Deliverables</w:t>
      </w:r>
    </w:p>
    <w:p w14:paraId="2DCD93D0" w14:textId="77777777" w:rsidR="00856BB2" w:rsidRPr="00856BB2" w:rsidRDefault="00856BB2" w:rsidP="00856BB2">
      <w:pPr>
        <w:pStyle w:val="BodyText1"/>
      </w:pPr>
      <w:r w:rsidRPr="00856BB2">
        <w:t xml:space="preserve">(1) Regular documentation of how the group work has contributed to the improvement of the situation for fish in the </w:t>
      </w:r>
      <w:proofErr w:type="spellStart"/>
      <w:r w:rsidRPr="00856BB2">
        <w:t>Wadden</w:t>
      </w:r>
      <w:proofErr w:type="spellEnd"/>
      <w:r w:rsidRPr="00856BB2">
        <w:t xml:space="preserve"> </w:t>
      </w:r>
      <w:proofErr w:type="gramStart"/>
      <w:r w:rsidRPr="00856BB2">
        <w:t>Sea;</w:t>
      </w:r>
      <w:proofErr w:type="gramEnd"/>
    </w:p>
    <w:p w14:paraId="42AC601D" w14:textId="77777777" w:rsidR="00856BB2" w:rsidRPr="00856BB2" w:rsidRDefault="00856BB2" w:rsidP="00856BB2">
      <w:pPr>
        <w:pStyle w:val="BodyText1"/>
      </w:pPr>
      <w:r w:rsidRPr="00856BB2">
        <w:t xml:space="preserve">(2) Recommendation for operational fish monitoring </w:t>
      </w:r>
      <w:proofErr w:type="spellStart"/>
      <w:r w:rsidRPr="00856BB2">
        <w:t>programme</w:t>
      </w:r>
      <w:proofErr w:type="spellEnd"/>
      <w:r w:rsidRPr="00856BB2">
        <w:t xml:space="preserve">(s) under </w:t>
      </w:r>
      <w:proofErr w:type="gramStart"/>
      <w:r w:rsidRPr="00856BB2">
        <w:t>TMAP;</w:t>
      </w:r>
      <w:proofErr w:type="gramEnd"/>
    </w:p>
    <w:p w14:paraId="69F0124C" w14:textId="77777777" w:rsidR="00856BB2" w:rsidRPr="00856BB2" w:rsidRDefault="00856BB2" w:rsidP="00856BB2">
      <w:pPr>
        <w:pStyle w:val="BodyText1"/>
      </w:pPr>
      <w:r w:rsidRPr="00856BB2">
        <w:t xml:space="preserve">(3) Regular trilateral progress reports on the status of </w:t>
      </w:r>
      <w:proofErr w:type="spellStart"/>
      <w:r w:rsidRPr="00856BB2">
        <w:t>Wadden</w:t>
      </w:r>
      <w:proofErr w:type="spellEnd"/>
      <w:r w:rsidRPr="00856BB2">
        <w:t xml:space="preserve"> Sea fish, including QSR thematic reports on fish, based on recent monitoring and under consideration of additional data, provide advice for measures to </w:t>
      </w:r>
      <w:proofErr w:type="gramStart"/>
      <w:r w:rsidRPr="00856BB2">
        <w:t>management;</w:t>
      </w:r>
      <w:proofErr w:type="gramEnd"/>
    </w:p>
    <w:p w14:paraId="39FADEAD" w14:textId="77777777" w:rsidR="00856BB2" w:rsidRPr="00856BB2" w:rsidRDefault="00856BB2" w:rsidP="00856BB2">
      <w:pPr>
        <w:pStyle w:val="BodyText1"/>
      </w:pPr>
      <w:r w:rsidRPr="00856BB2">
        <w:t xml:space="preserve">(4) The group to function as platform for communication and for exchange of information with other SWIMWAY initiatives and entities to consider the wider geographical context of migrating fish; Collaboration and exchange, </w:t>
      </w:r>
      <w:proofErr w:type="gramStart"/>
      <w:r w:rsidRPr="00856BB2">
        <w:t>e.g.</w:t>
      </w:r>
      <w:proofErr w:type="gramEnd"/>
      <w:r w:rsidRPr="00856BB2">
        <w:t xml:space="preserve"> via </w:t>
      </w:r>
      <w:proofErr w:type="spellStart"/>
      <w:r w:rsidRPr="00856BB2">
        <w:t>Swimway</w:t>
      </w:r>
      <w:proofErr w:type="spellEnd"/>
      <w:r w:rsidRPr="00856BB2">
        <w:t xml:space="preserve"> conferences, support of the development of information material;</w:t>
      </w:r>
    </w:p>
    <w:p w14:paraId="683D705B" w14:textId="77777777" w:rsidR="00856BB2" w:rsidRPr="00856BB2" w:rsidRDefault="00856BB2" w:rsidP="00856BB2">
      <w:pPr>
        <w:pStyle w:val="BodyText1"/>
      </w:pPr>
      <w:r w:rsidRPr="00856BB2">
        <w:t xml:space="preserve">(5) Activity plan for implementation of SWIMWAY Vision and Action </w:t>
      </w:r>
      <w:proofErr w:type="spellStart"/>
      <w:r w:rsidRPr="00856BB2">
        <w:t>Programme</w:t>
      </w:r>
      <w:proofErr w:type="spellEnd"/>
      <w:r w:rsidRPr="00856BB2">
        <w:t xml:space="preserve"> with clearly defined products and results and division of tasks, with continuous updates.</w:t>
      </w:r>
    </w:p>
    <w:p w14:paraId="180C4746" w14:textId="77777777" w:rsidR="00856BB2" w:rsidRPr="00856BB2" w:rsidRDefault="00856BB2" w:rsidP="00856BB2">
      <w:pPr>
        <w:pStyle w:val="BodyText1"/>
        <w:rPr>
          <w:b/>
          <w:bCs/>
        </w:rPr>
      </w:pPr>
      <w:r w:rsidRPr="00856BB2">
        <w:rPr>
          <w:b/>
          <w:bCs/>
        </w:rPr>
        <w:t>Composition/Membership</w:t>
      </w:r>
    </w:p>
    <w:p w14:paraId="2A1717B5" w14:textId="77777777" w:rsidR="00856BB2" w:rsidRPr="00856BB2" w:rsidRDefault="00856BB2" w:rsidP="00856BB2">
      <w:pPr>
        <w:pStyle w:val="BodyText1"/>
      </w:pPr>
      <w:r w:rsidRPr="00856BB2">
        <w:t>Chairperson plus</w:t>
      </w:r>
    </w:p>
    <w:p w14:paraId="52F534F9" w14:textId="77777777" w:rsidR="00856BB2" w:rsidRPr="00856BB2" w:rsidRDefault="00856BB2" w:rsidP="00856BB2">
      <w:pPr>
        <w:pStyle w:val="BodyText1"/>
      </w:pPr>
      <w:r w:rsidRPr="00856BB2">
        <w:t xml:space="preserve">1-2 members per region (DK, HH, LS, NL, SH), preferably with scientific expertise in </w:t>
      </w:r>
      <w:proofErr w:type="spellStart"/>
      <w:r w:rsidRPr="00856BB2">
        <w:t>Wadden</w:t>
      </w:r>
      <w:proofErr w:type="spellEnd"/>
      <w:r w:rsidRPr="00856BB2">
        <w:t xml:space="preserve"> Sea fish and from monitoring and administrative/ management level, plus 1 -2 representatives of NGOs with </w:t>
      </w:r>
      <w:proofErr w:type="spellStart"/>
      <w:r w:rsidRPr="00856BB2">
        <w:t>Wadden</w:t>
      </w:r>
      <w:proofErr w:type="spellEnd"/>
      <w:r w:rsidRPr="00856BB2">
        <w:t xml:space="preserve"> Sea fish expertise.</w:t>
      </w:r>
    </w:p>
    <w:p w14:paraId="5FA6FFE2" w14:textId="653DA25B" w:rsidR="00856BB2" w:rsidRDefault="00856BB2" w:rsidP="00856BB2">
      <w:pPr>
        <w:pStyle w:val="BodyText1"/>
      </w:pPr>
      <w:r w:rsidRPr="00856BB2">
        <w:t>Participation by additional experts to EG-</w:t>
      </w:r>
      <w:proofErr w:type="spellStart"/>
      <w:r w:rsidRPr="00856BB2">
        <w:t>Swimway</w:t>
      </w:r>
      <w:proofErr w:type="spellEnd"/>
      <w:r w:rsidRPr="00856BB2">
        <w:t xml:space="preserve"> meetings and activities is welcome upon invitation on specific tasks/topics.</w:t>
      </w:r>
    </w:p>
    <w:p w14:paraId="5C98D1FC" w14:textId="77777777" w:rsidR="00856BB2" w:rsidRPr="00856BB2" w:rsidRDefault="00856BB2" w:rsidP="00856BB2">
      <w:pPr>
        <w:pStyle w:val="BodyText1"/>
        <w:rPr>
          <w:b/>
          <w:bCs/>
        </w:rPr>
      </w:pPr>
      <w:r w:rsidRPr="00856BB2">
        <w:rPr>
          <w:b/>
          <w:bCs/>
        </w:rPr>
        <w:t>Time schedule</w:t>
      </w:r>
    </w:p>
    <w:p w14:paraId="6DBC892F" w14:textId="77777777" w:rsidR="00856BB2" w:rsidRPr="00856BB2" w:rsidRDefault="00856BB2" w:rsidP="00856BB2">
      <w:pPr>
        <w:pStyle w:val="BodyText1"/>
      </w:pPr>
      <w:r w:rsidRPr="00856BB2">
        <w:t>Permanent group.</w:t>
      </w:r>
    </w:p>
    <w:p w14:paraId="088A6D01" w14:textId="74E7CBB4" w:rsidR="00856BB2" w:rsidRPr="000051F4" w:rsidRDefault="00856BB2" w:rsidP="00856BB2">
      <w:pPr>
        <w:pStyle w:val="BodyText1"/>
        <w:rPr>
          <w:lang w:val="en-GB"/>
        </w:rPr>
      </w:pPr>
      <w:r w:rsidRPr="00856BB2">
        <w:t xml:space="preserve">According to the decision by the Ministerial Conference, the implementation of the </w:t>
      </w:r>
      <w:proofErr w:type="spellStart"/>
      <w:r w:rsidRPr="00856BB2">
        <w:t>Swimway</w:t>
      </w:r>
      <w:proofErr w:type="spellEnd"/>
      <w:r w:rsidRPr="00856BB2">
        <w:t xml:space="preserve"> Vision/Action </w:t>
      </w:r>
      <w:proofErr w:type="spellStart"/>
      <w:r w:rsidRPr="00856BB2">
        <w:t>Programme</w:t>
      </w:r>
      <w:proofErr w:type="spellEnd"/>
      <w:r w:rsidRPr="00856BB2">
        <w:t xml:space="preserve"> is foreseen to be accomplished within the German Presidency plus two years </w:t>
      </w:r>
      <w:proofErr w:type="gramStart"/>
      <w:r w:rsidRPr="00856BB2">
        <w:t>i.e.</w:t>
      </w:r>
      <w:proofErr w:type="gramEnd"/>
      <w:r w:rsidRPr="00856BB2">
        <w:t xml:space="preserve"> in the period 2021 – 2024.</w:t>
      </w:r>
    </w:p>
    <w:sectPr w:rsidR="00856BB2" w:rsidRPr="000051F4" w:rsidSect="00936E0E">
      <w:headerReference w:type="default" r:id="rId16"/>
      <w:footerReference w:type="default" r:id="rId17"/>
      <w:footerReference w:type="first" r:id="rId18"/>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3037" w14:textId="77777777" w:rsidR="007B063A" w:rsidRDefault="007B063A">
      <w:r>
        <w:separator/>
      </w:r>
    </w:p>
  </w:endnote>
  <w:endnote w:type="continuationSeparator" w:id="0">
    <w:p w14:paraId="09A5E2D2" w14:textId="77777777" w:rsidR="007B063A" w:rsidRDefault="007B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29B3"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EF08E4">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p w14:paraId="2BA361EA"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5CB"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0AE085DF" wp14:editId="627C7016">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5AE4DF0C" wp14:editId="194DAE25">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BAA4" w14:textId="77777777" w:rsidR="007B063A" w:rsidRDefault="007B063A">
      <w:r>
        <w:separator/>
      </w:r>
    </w:p>
  </w:footnote>
  <w:footnote w:type="continuationSeparator" w:id="0">
    <w:p w14:paraId="235966AC" w14:textId="77777777" w:rsidR="007B063A" w:rsidRDefault="007B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46F2" w14:textId="2DB444B0" w:rsidR="001C042F" w:rsidRDefault="001C2108"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21-1</w:t>
    </w:r>
    <w:r w:rsidR="007D5514" w:rsidRPr="003C34F6">
      <w:rPr>
        <w:rFonts w:ascii="Georgia" w:hAnsi="Georgia"/>
        <w:color w:val="808080" w:themeColor="background1" w:themeShade="80"/>
        <w:sz w:val="18"/>
        <w:szCs w:val="18"/>
      </w:rPr>
      <w:t>/</w:t>
    </w:r>
    <w:r w:rsidR="008D0EFB">
      <w:rPr>
        <w:rFonts w:ascii="Georgia" w:hAnsi="Georgia"/>
        <w:color w:val="808080" w:themeColor="background1" w:themeShade="80"/>
        <w:sz w:val="18"/>
        <w:szCs w:val="18"/>
      </w:rPr>
      <w:t>3 2021-11-05</w:t>
    </w:r>
  </w:p>
  <w:p w14:paraId="289C7859" w14:textId="77777777" w:rsidR="00936E0E" w:rsidRPr="003C34F6" w:rsidRDefault="00936E0E" w:rsidP="006607D8">
    <w:pPr>
      <w:pStyle w:val="Header"/>
      <w:jc w:val="both"/>
      <w:rPr>
        <w:rFonts w:ascii="Georgia" w:hAnsi="Georgi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D9"/>
    <w:multiLevelType w:val="hybridMultilevel"/>
    <w:tmpl w:val="A6A804D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C2AE5"/>
    <w:multiLevelType w:val="hybridMultilevel"/>
    <w:tmpl w:val="8A3230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A2BF0"/>
    <w:multiLevelType w:val="hybridMultilevel"/>
    <w:tmpl w:val="AC920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C464A"/>
    <w:multiLevelType w:val="hybridMultilevel"/>
    <w:tmpl w:val="A80412A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44CA31B3"/>
    <w:multiLevelType w:val="hybridMultilevel"/>
    <w:tmpl w:val="B900B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4A0F6E69"/>
    <w:multiLevelType w:val="hybridMultilevel"/>
    <w:tmpl w:val="7D72ED1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120D7D"/>
    <w:multiLevelType w:val="hybridMultilevel"/>
    <w:tmpl w:val="53B6CF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5"/>
  </w:num>
  <w:num w:numId="2">
    <w:abstractNumId w:val="15"/>
  </w:num>
  <w:num w:numId="3">
    <w:abstractNumId w:val="15"/>
  </w:num>
  <w:num w:numId="4">
    <w:abstractNumId w:val="8"/>
  </w:num>
  <w:num w:numId="5">
    <w:abstractNumId w:val="21"/>
  </w:num>
  <w:num w:numId="6">
    <w:abstractNumId w:val="1"/>
  </w:num>
  <w:num w:numId="7">
    <w:abstractNumId w:val="19"/>
  </w:num>
  <w:num w:numId="8">
    <w:abstractNumId w:val="20"/>
  </w:num>
  <w:num w:numId="9">
    <w:abstractNumId w:val="12"/>
  </w:num>
  <w:num w:numId="10">
    <w:abstractNumId w:val="11"/>
  </w:num>
  <w:num w:numId="11">
    <w:abstractNumId w:val="23"/>
  </w:num>
  <w:num w:numId="12">
    <w:abstractNumId w:val="6"/>
  </w:num>
  <w:num w:numId="13">
    <w:abstractNumId w:val="25"/>
  </w:num>
  <w:num w:numId="14">
    <w:abstractNumId w:val="3"/>
  </w:num>
  <w:num w:numId="15">
    <w:abstractNumId w:val="17"/>
  </w:num>
  <w:num w:numId="16">
    <w:abstractNumId w:val="24"/>
  </w:num>
  <w:num w:numId="17">
    <w:abstractNumId w:val="5"/>
  </w:num>
  <w:num w:numId="18">
    <w:abstractNumId w:val="14"/>
  </w:num>
  <w:num w:numId="19">
    <w:abstractNumId w:val="18"/>
  </w:num>
  <w:num w:numId="20">
    <w:abstractNumId w:val="9"/>
  </w:num>
  <w:num w:numId="21">
    <w:abstractNumId w:val="16"/>
  </w:num>
  <w:num w:numId="22">
    <w:abstractNumId w:val="4"/>
  </w:num>
  <w:num w:numId="23">
    <w:abstractNumId w:val="2"/>
  </w:num>
  <w:num w:numId="24">
    <w:abstractNumId w:val="7"/>
  </w:num>
  <w:num w:numId="25">
    <w:abstractNumId w:val="22"/>
  </w:num>
  <w:num w:numId="26">
    <w:abstractNumId w:val="13"/>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11C0B"/>
    <w:rsid w:val="00004EE5"/>
    <w:rsid w:val="000051F4"/>
    <w:rsid w:val="00007DD7"/>
    <w:rsid w:val="000135D9"/>
    <w:rsid w:val="00014ADE"/>
    <w:rsid w:val="0002233C"/>
    <w:rsid w:val="00044B5D"/>
    <w:rsid w:val="00051122"/>
    <w:rsid w:val="00053636"/>
    <w:rsid w:val="00063107"/>
    <w:rsid w:val="00066FC4"/>
    <w:rsid w:val="000701AF"/>
    <w:rsid w:val="00075502"/>
    <w:rsid w:val="00084004"/>
    <w:rsid w:val="000B051E"/>
    <w:rsid w:val="000B62EE"/>
    <w:rsid w:val="000C379B"/>
    <w:rsid w:val="000D1CD5"/>
    <w:rsid w:val="000D4AA1"/>
    <w:rsid w:val="000D5FF1"/>
    <w:rsid w:val="000E074C"/>
    <w:rsid w:val="000E250B"/>
    <w:rsid w:val="000E286C"/>
    <w:rsid w:val="000E7117"/>
    <w:rsid w:val="000F0E64"/>
    <w:rsid w:val="000F37B1"/>
    <w:rsid w:val="00147A4E"/>
    <w:rsid w:val="0017526A"/>
    <w:rsid w:val="001760DD"/>
    <w:rsid w:val="00193121"/>
    <w:rsid w:val="001B785E"/>
    <w:rsid w:val="001C042F"/>
    <w:rsid w:val="001C2108"/>
    <w:rsid w:val="002054A8"/>
    <w:rsid w:val="002108D8"/>
    <w:rsid w:val="00212819"/>
    <w:rsid w:val="002160AA"/>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0963"/>
    <w:rsid w:val="004634D9"/>
    <w:rsid w:val="00464803"/>
    <w:rsid w:val="0047073F"/>
    <w:rsid w:val="00473646"/>
    <w:rsid w:val="0048039B"/>
    <w:rsid w:val="004811CF"/>
    <w:rsid w:val="0049559C"/>
    <w:rsid w:val="00495F8E"/>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063A"/>
    <w:rsid w:val="007B729F"/>
    <w:rsid w:val="007B73FA"/>
    <w:rsid w:val="007C501F"/>
    <w:rsid w:val="007C7BD3"/>
    <w:rsid w:val="007D5514"/>
    <w:rsid w:val="007E2E72"/>
    <w:rsid w:val="008220BC"/>
    <w:rsid w:val="008236A8"/>
    <w:rsid w:val="00824914"/>
    <w:rsid w:val="00836281"/>
    <w:rsid w:val="00840BD4"/>
    <w:rsid w:val="00853159"/>
    <w:rsid w:val="00855425"/>
    <w:rsid w:val="00856BB2"/>
    <w:rsid w:val="00884A64"/>
    <w:rsid w:val="00892271"/>
    <w:rsid w:val="008965D1"/>
    <w:rsid w:val="008A01BE"/>
    <w:rsid w:val="008B6DC3"/>
    <w:rsid w:val="008C1B3E"/>
    <w:rsid w:val="008C1C3A"/>
    <w:rsid w:val="008C5C75"/>
    <w:rsid w:val="008D07C9"/>
    <w:rsid w:val="008D0EFB"/>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14404"/>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61467"/>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11C0B"/>
    <w:rsid w:val="00E20D83"/>
    <w:rsid w:val="00E41AA1"/>
    <w:rsid w:val="00E420E7"/>
    <w:rsid w:val="00E479CC"/>
    <w:rsid w:val="00E51DED"/>
    <w:rsid w:val="00E55CC2"/>
    <w:rsid w:val="00E60B90"/>
    <w:rsid w:val="00E629D8"/>
    <w:rsid w:val="00E65956"/>
    <w:rsid w:val="00E667AE"/>
    <w:rsid w:val="00E7261B"/>
    <w:rsid w:val="00E80972"/>
    <w:rsid w:val="00E8189E"/>
    <w:rsid w:val="00E84286"/>
    <w:rsid w:val="00E85374"/>
    <w:rsid w:val="00E904DF"/>
    <w:rsid w:val="00E92147"/>
    <w:rsid w:val="00E95582"/>
    <w:rsid w:val="00E96D7C"/>
    <w:rsid w:val="00EB608B"/>
    <w:rsid w:val="00EC0CDB"/>
    <w:rsid w:val="00EC431E"/>
    <w:rsid w:val="00EC5696"/>
    <w:rsid w:val="00EE23C0"/>
    <w:rsid w:val="00EE25B5"/>
    <w:rsid w:val="00EF08E4"/>
    <w:rsid w:val="00EF1778"/>
    <w:rsid w:val="00F05116"/>
    <w:rsid w:val="00F52682"/>
    <w:rsid w:val="00F55CC4"/>
    <w:rsid w:val="00F62E2B"/>
    <w:rsid w:val="00F73795"/>
    <w:rsid w:val="00F77F84"/>
    <w:rsid w:val="00F872A7"/>
    <w:rsid w:val="00F912C1"/>
    <w:rsid w:val="00F91478"/>
    <w:rsid w:val="00F97082"/>
    <w:rsid w:val="00FA27B3"/>
    <w:rsid w:val="00FA36AB"/>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ED59B4"/>
  <w15:docId w15:val="{B8FAC4A1-B52B-4AF0-A732-1BCA749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892271"/>
    <w:pPr>
      <w:spacing w:after="120" w:line="276" w:lineRule="auto"/>
      <w:outlineLvl w:val="0"/>
    </w:pPr>
    <w:rPr>
      <w:rFonts w:ascii="Arial" w:hAnsi="Arial" w:cs="Arial"/>
      <w:sz w:val="28"/>
      <w:szCs w:val="28"/>
    </w:rPr>
  </w:style>
  <w:style w:type="paragraph" w:styleId="Heading2">
    <w:name w:val="heading 2"/>
    <w:basedOn w:val="Normal"/>
    <w:next w:val="Normal"/>
    <w:qFormat/>
    <w:rsid w:val="00892271"/>
    <w:pPr>
      <w:spacing w:after="120" w:line="276" w:lineRule="auto"/>
      <w:outlineLvl w:val="1"/>
    </w:pPr>
    <w:rPr>
      <w:rFonts w:ascii="Arial" w:hAnsi="Arial" w:cs="Arial"/>
      <w:b/>
      <w:szCs w:val="28"/>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customStyle="1" w:styleId="BodyText1">
    <w:name w:val="Body Text1"/>
    <w:basedOn w:val="Normal"/>
    <w:link w:val="BodytextChar"/>
    <w:qFormat/>
    <w:rsid w:val="00892271"/>
    <w:pPr>
      <w:spacing w:after="200" w:line="276" w:lineRule="auto"/>
    </w:pPr>
    <w:rPr>
      <w:rFonts w:ascii="Georgia" w:hAnsi="Georgia"/>
      <w:sz w:val="20"/>
      <w:szCs w:val="22"/>
    </w:rPr>
  </w:style>
  <w:style w:type="character" w:customStyle="1" w:styleId="Header2Zchn">
    <w:name w:val="Header 2 Zchn"/>
    <w:basedOn w:val="DefaultParagraphFont"/>
    <w:link w:val="Header2"/>
    <w:locked/>
    <w:rsid w:val="000051F4"/>
    <w:rPr>
      <w:rFonts w:ascii="Arial" w:hAnsi="Arial" w:cs="Arial"/>
      <w:b/>
      <w:szCs w:val="28"/>
      <w:lang w:val="en-GB"/>
    </w:rPr>
  </w:style>
  <w:style w:type="character" w:customStyle="1" w:styleId="BodytextChar">
    <w:name w:val="Body text Char"/>
    <w:basedOn w:val="DefaultParagraphFont"/>
    <w:link w:val="BodyText1"/>
    <w:rsid w:val="00892271"/>
    <w:rPr>
      <w:rFonts w:ascii="Georgia" w:hAnsi="Georgia"/>
      <w:szCs w:val="22"/>
      <w:lang w:val="en-US" w:eastAsia="en-US"/>
    </w:rPr>
  </w:style>
  <w:style w:type="paragraph" w:customStyle="1" w:styleId="Header2">
    <w:name w:val="Header 2"/>
    <w:basedOn w:val="Normal"/>
    <w:link w:val="Header2Zchn"/>
    <w:qFormat/>
    <w:rsid w:val="000051F4"/>
    <w:pPr>
      <w:spacing w:after="120" w:line="276" w:lineRule="auto"/>
    </w:pPr>
    <w:rPr>
      <w:rFonts w:ascii="Arial" w:hAnsi="Arial" w:cs="Arial"/>
      <w:b/>
      <w:sz w:val="20"/>
      <w:szCs w:val="28"/>
      <w:lang w:val="en-GB" w:eastAsia="de-DE"/>
    </w:rPr>
  </w:style>
  <w:style w:type="character" w:customStyle="1" w:styleId="BulletboldZchn">
    <w:name w:val="Bullet bold Zchn"/>
    <w:basedOn w:val="DefaultParagraphFont"/>
    <w:link w:val="Bulletbold"/>
    <w:locked/>
    <w:rsid w:val="000051F4"/>
    <w:rPr>
      <w:b/>
      <w:lang w:val="en-GB"/>
    </w:rPr>
  </w:style>
  <w:style w:type="paragraph" w:customStyle="1" w:styleId="Bulletbold">
    <w:name w:val="Bullet bold"/>
    <w:basedOn w:val="ListParagraph"/>
    <w:link w:val="BulletboldZchn"/>
    <w:qFormat/>
    <w:rsid w:val="000051F4"/>
    <w:pPr>
      <w:numPr>
        <w:numId w:val="21"/>
      </w:numPr>
      <w:spacing w:before="240" w:after="0"/>
      <w:ind w:left="714" w:hanging="357"/>
      <w:contextualSpacing w:val="0"/>
    </w:pPr>
    <w:rPr>
      <w:rFonts w:ascii="Times New Roman" w:eastAsia="Times New Roman" w:hAnsi="Times New Roman" w:cs="Times New Roman"/>
      <w:b/>
      <w:sz w:val="20"/>
      <w:szCs w:val="20"/>
      <w:lang w:val="en-GB" w:eastAsia="de-DE"/>
    </w:rPr>
  </w:style>
  <w:style w:type="character" w:customStyle="1" w:styleId="UnresolvedMention1">
    <w:name w:val="Unresolved Mention1"/>
    <w:basedOn w:val="DefaultParagraphFont"/>
    <w:uiPriority w:val="99"/>
    <w:semiHidden/>
    <w:unhideWhenUsed/>
    <w:rsid w:val="0000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2772">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sites/default/files/2010_Wadden%20Sea%20Pla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ddensea-worldheritage.org/sites/default/files/2018_leeuwarden_declarat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waddensea-worldheritage.org/sites/default/files/2019_swimway_action_programme.pdf" TargetMode="External"/><Relationship Id="rId10" Type="http://schemas.openxmlformats.org/officeDocument/2006/relationships/hyperlink" Target="https://www.waddensea-secretariat.org/system/files/WSB-28-7-1-1_TWSC_TOR_of_group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ddensea-worldheritage.org/system/files/WSB-32-5-2-3-ToR%20EG-Swimway.pdf" TargetMode="External"/><Relationship Id="rId14" Type="http://schemas.openxmlformats.org/officeDocument/2006/relationships/hyperlink" Target="https://qsr.waddensea-worldheritage.org/reports/fish"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55DBA-4AA4-4B74-B1B2-DED2A29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layout.dotx</Template>
  <TotalTime>5</TotalTime>
  <Pages>6</Pages>
  <Words>1985</Words>
  <Characters>11946</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Julia Busch</cp:lastModifiedBy>
  <cp:revision>3</cp:revision>
  <cp:lastPrinted>2013-09-25T14:30:00Z</cp:lastPrinted>
  <dcterms:created xsi:type="dcterms:W3CDTF">2021-11-04T21:48:00Z</dcterms:created>
  <dcterms:modified xsi:type="dcterms:W3CDTF">2021-11-05T08:38:00Z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