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4" w14:textId="77777777" w:rsidR="008561DC" w:rsidRPr="001A5AB5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1A5AB5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AB5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2B337EAF" w14:textId="6B86F5AC" w:rsidR="007E3338" w:rsidRDefault="007E3338" w:rsidP="007E3338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>
        <w:rPr>
          <w:rFonts w:ascii="Arial" w:eastAsia="Calibri" w:hAnsi="Arial" w:cs="Arial"/>
          <w:b/>
          <w:szCs w:val="36"/>
          <w:lang w:val="en-GB"/>
        </w:rPr>
        <w:t>(TG-M 21-</w:t>
      </w:r>
      <w:r w:rsidR="005A09DB">
        <w:rPr>
          <w:rFonts w:ascii="Arial" w:eastAsia="Calibri" w:hAnsi="Arial" w:cs="Arial"/>
          <w:b/>
          <w:szCs w:val="36"/>
          <w:lang w:val="en-GB"/>
        </w:rPr>
        <w:t>3</w:t>
      </w:r>
      <w:r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718FBC43" w14:textId="47DEC76F" w:rsidR="007E3338" w:rsidRPr="00A55274" w:rsidRDefault="007E3338" w:rsidP="007E333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</w:t>
      </w:r>
      <w:r w:rsidR="005A09DB">
        <w:rPr>
          <w:rFonts w:ascii="Georgia" w:eastAsia="Batang" w:hAnsi="Georgia"/>
          <w:sz w:val="20"/>
          <w:szCs w:val="20"/>
          <w:lang w:val="en-GB" w:eastAsia="ko-KR"/>
        </w:rPr>
        <w:t>5</w:t>
      </w:r>
      <w:r w:rsidRPr="00A55274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5A09DB">
        <w:rPr>
          <w:rFonts w:ascii="Georgia" w:eastAsia="Batang" w:hAnsi="Georgia"/>
          <w:sz w:val="20"/>
          <w:szCs w:val="20"/>
          <w:lang w:val="en-GB" w:eastAsia="ko-KR"/>
        </w:rPr>
        <w:t>May</w:t>
      </w:r>
      <w:r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32365B7D" w14:textId="77777777" w:rsidR="007E3338" w:rsidRPr="001A5AB5" w:rsidRDefault="007E3338" w:rsidP="007E3338">
      <w:pPr>
        <w:pBdr>
          <w:bottom w:val="single" w:sz="6" w:space="1" w:color="auto"/>
        </w:pBdr>
        <w:spacing w:after="120" w:line="276" w:lineRule="auto"/>
        <w:jc w:val="center"/>
        <w:rPr>
          <w:sz w:val="20"/>
          <w:szCs w:val="20"/>
          <w:lang w:val="en-GB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288F109D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5BED862B" w:rsidR="008561DC" w:rsidRPr="001A5AB5" w:rsidRDefault="008561DC" w:rsidP="007E3338">
      <w:pPr>
        <w:tabs>
          <w:tab w:val="left" w:pos="2160"/>
        </w:tabs>
        <w:spacing w:after="200" w:line="276" w:lineRule="auto"/>
        <w:ind w:left="1440" w:hanging="1440"/>
        <w:rPr>
          <w:rFonts w:ascii="Georgia" w:hAnsi="Georgia"/>
          <w:b/>
          <w:sz w:val="20"/>
          <w:szCs w:val="22"/>
          <w:highlight w:val="yellow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>Agenda Item:</w:t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CF4F5D">
        <w:rPr>
          <w:rFonts w:ascii="Georgia" w:hAnsi="Georgia"/>
          <w:b/>
          <w:sz w:val="20"/>
          <w:szCs w:val="22"/>
          <w:lang w:val="en-GB"/>
        </w:rPr>
        <w:tab/>
      </w:r>
      <w:r w:rsidR="005A09DB">
        <w:rPr>
          <w:rFonts w:ascii="Georgia" w:hAnsi="Georgia"/>
          <w:b/>
          <w:sz w:val="20"/>
          <w:szCs w:val="22"/>
          <w:lang w:val="en-GB"/>
        </w:rPr>
        <w:t>7</w:t>
      </w:r>
      <w:r w:rsidR="00551F96" w:rsidRPr="00551F96">
        <w:rPr>
          <w:rFonts w:ascii="Georgia" w:hAnsi="Georgia"/>
          <w:b/>
          <w:sz w:val="20"/>
          <w:szCs w:val="22"/>
          <w:lang w:val="en-GB"/>
        </w:rPr>
        <w:t>.</w:t>
      </w:r>
      <w:r w:rsidR="00CF4F5D">
        <w:rPr>
          <w:rFonts w:ascii="Georgia" w:hAnsi="Georgia"/>
          <w:b/>
          <w:sz w:val="20"/>
          <w:szCs w:val="22"/>
          <w:lang w:val="en-GB"/>
        </w:rPr>
        <w:t xml:space="preserve"> </w:t>
      </w:r>
      <w:r w:rsidR="00551F96" w:rsidRPr="00551F96">
        <w:rPr>
          <w:rFonts w:ascii="Georgia" w:hAnsi="Georgia"/>
          <w:b/>
          <w:sz w:val="20"/>
          <w:szCs w:val="22"/>
          <w:lang w:val="en-GB"/>
        </w:rPr>
        <w:t>SIMP and QSR</w:t>
      </w:r>
    </w:p>
    <w:p w14:paraId="449CCF2C" w14:textId="618EBBDF" w:rsidR="008561DC" w:rsidRPr="00B91C82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B91C82">
        <w:rPr>
          <w:rFonts w:ascii="Georgia" w:hAnsi="Georgia"/>
          <w:b/>
          <w:sz w:val="20"/>
          <w:szCs w:val="22"/>
          <w:lang w:val="en-GB"/>
        </w:rPr>
        <w:t>Subject:</w:t>
      </w:r>
      <w:r w:rsidRPr="00B91C82">
        <w:rPr>
          <w:rFonts w:ascii="Georgia" w:hAnsi="Georgia"/>
          <w:b/>
          <w:sz w:val="20"/>
          <w:szCs w:val="22"/>
          <w:lang w:val="en-GB"/>
        </w:rPr>
        <w:tab/>
      </w:r>
      <w:r w:rsidR="00703EAD">
        <w:rPr>
          <w:rFonts w:ascii="Georgia" w:hAnsi="Georgia"/>
          <w:b/>
          <w:sz w:val="20"/>
          <w:szCs w:val="22"/>
          <w:lang w:val="en-GB"/>
        </w:rPr>
        <w:t xml:space="preserve">QSR </w:t>
      </w:r>
      <w:r w:rsidR="00CF4F5D">
        <w:rPr>
          <w:rFonts w:ascii="Georgia" w:hAnsi="Georgia"/>
          <w:b/>
          <w:sz w:val="20"/>
          <w:szCs w:val="22"/>
          <w:lang w:val="en-GB"/>
        </w:rPr>
        <w:t xml:space="preserve">Thematic Report </w:t>
      </w:r>
      <w:r w:rsidR="00703EAD">
        <w:rPr>
          <w:rFonts w:ascii="Georgia" w:hAnsi="Georgia"/>
          <w:b/>
          <w:sz w:val="20"/>
          <w:szCs w:val="22"/>
          <w:lang w:val="en-GB"/>
        </w:rPr>
        <w:t>updates</w:t>
      </w:r>
      <w:r w:rsidR="00CF4F5D">
        <w:rPr>
          <w:rFonts w:ascii="Georgia" w:hAnsi="Georgia"/>
          <w:b/>
          <w:sz w:val="20"/>
          <w:szCs w:val="22"/>
          <w:lang w:val="en-GB"/>
        </w:rPr>
        <w:t xml:space="preserve"> and process</w:t>
      </w:r>
    </w:p>
    <w:p w14:paraId="4EC4A14D" w14:textId="44EFEB5B" w:rsidR="008561DC" w:rsidRPr="001A5AB5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B91C82">
        <w:rPr>
          <w:rFonts w:ascii="Georgia" w:hAnsi="Georgia"/>
          <w:b/>
          <w:sz w:val="20"/>
          <w:szCs w:val="22"/>
          <w:lang w:val="en-GB"/>
        </w:rPr>
        <w:t>Document No.:</w:t>
      </w:r>
      <w:r w:rsidRPr="00B91C82">
        <w:rPr>
          <w:rFonts w:ascii="Georgia" w:hAnsi="Georgia"/>
          <w:b/>
          <w:sz w:val="20"/>
          <w:szCs w:val="22"/>
          <w:lang w:val="en-GB"/>
        </w:rPr>
        <w:tab/>
      </w:r>
      <w:bookmarkStart w:id="0" w:name="_Hlk40091895"/>
      <w:r w:rsidR="00F411B2" w:rsidRPr="00B91C82">
        <w:rPr>
          <w:rFonts w:ascii="Georgia" w:hAnsi="Georgia"/>
          <w:sz w:val="20"/>
          <w:szCs w:val="22"/>
          <w:lang w:val="en-GB"/>
        </w:rPr>
        <w:t>TG</w:t>
      </w:r>
      <w:r w:rsidR="007861D9" w:rsidRPr="00B91C82">
        <w:rPr>
          <w:rFonts w:ascii="Georgia" w:hAnsi="Georgia"/>
          <w:sz w:val="20"/>
          <w:szCs w:val="22"/>
          <w:lang w:val="en-GB"/>
        </w:rPr>
        <w:t>-</w:t>
      </w:r>
      <w:r w:rsidR="00F411B2" w:rsidRPr="00B91C82">
        <w:rPr>
          <w:rFonts w:ascii="Georgia" w:hAnsi="Georgia"/>
          <w:sz w:val="20"/>
          <w:szCs w:val="22"/>
          <w:lang w:val="en-GB"/>
        </w:rPr>
        <w:t>M</w:t>
      </w:r>
      <w:r w:rsidR="007861D9" w:rsidRPr="00B91C82">
        <w:rPr>
          <w:rFonts w:ascii="Georgia" w:hAnsi="Georgia"/>
          <w:sz w:val="20"/>
          <w:szCs w:val="22"/>
          <w:lang w:val="en-GB"/>
        </w:rPr>
        <w:t xml:space="preserve"> </w:t>
      </w:r>
      <w:r w:rsidR="00F411B2" w:rsidRPr="00B91C82">
        <w:rPr>
          <w:rFonts w:ascii="Georgia" w:hAnsi="Georgia"/>
          <w:sz w:val="20"/>
          <w:szCs w:val="22"/>
          <w:lang w:val="en-GB"/>
        </w:rPr>
        <w:t>2</w:t>
      </w:r>
      <w:r w:rsidR="006E79F6">
        <w:rPr>
          <w:rFonts w:ascii="Georgia" w:hAnsi="Georgia"/>
          <w:sz w:val="20"/>
          <w:szCs w:val="22"/>
          <w:lang w:val="en-GB"/>
        </w:rPr>
        <w:t>1</w:t>
      </w:r>
      <w:r w:rsidR="00C71071">
        <w:rPr>
          <w:rFonts w:ascii="Georgia" w:hAnsi="Georgia"/>
          <w:sz w:val="20"/>
          <w:szCs w:val="22"/>
          <w:lang w:val="en-GB"/>
        </w:rPr>
        <w:t>-</w:t>
      </w:r>
      <w:r w:rsidR="001004C2">
        <w:rPr>
          <w:rFonts w:ascii="Georgia" w:hAnsi="Georgia"/>
          <w:sz w:val="20"/>
          <w:szCs w:val="22"/>
          <w:lang w:val="en-GB"/>
        </w:rPr>
        <w:t>3</w:t>
      </w:r>
      <w:r w:rsidRPr="00B91C82">
        <w:rPr>
          <w:rFonts w:ascii="Georgia" w:hAnsi="Georgia"/>
          <w:sz w:val="20"/>
          <w:szCs w:val="22"/>
          <w:lang w:val="en-GB"/>
        </w:rPr>
        <w:t>/</w:t>
      </w:r>
      <w:bookmarkEnd w:id="0"/>
      <w:r w:rsidR="005A09DB">
        <w:rPr>
          <w:rFonts w:ascii="Georgia" w:hAnsi="Georgia"/>
          <w:sz w:val="20"/>
          <w:szCs w:val="22"/>
          <w:lang w:val="en-GB"/>
        </w:rPr>
        <w:t>7</w:t>
      </w:r>
      <w:r w:rsidR="00551F96">
        <w:rPr>
          <w:rFonts w:ascii="Georgia" w:hAnsi="Georgia"/>
          <w:sz w:val="20"/>
          <w:szCs w:val="22"/>
          <w:lang w:val="en-GB"/>
        </w:rPr>
        <w:t>/2</w:t>
      </w:r>
    </w:p>
    <w:p w14:paraId="686CEA66" w14:textId="3EB43B0F" w:rsidR="008561DC" w:rsidRPr="001A5AB5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>Date:</w:t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1004C2">
        <w:rPr>
          <w:rFonts w:ascii="Georgia" w:hAnsi="Georgia"/>
          <w:sz w:val="20"/>
          <w:szCs w:val="22"/>
          <w:lang w:val="en-GB"/>
        </w:rPr>
        <w:t>21</w:t>
      </w:r>
      <w:r w:rsidR="006E79F6">
        <w:rPr>
          <w:rFonts w:ascii="Georgia" w:hAnsi="Georgia"/>
          <w:sz w:val="20"/>
          <w:szCs w:val="22"/>
          <w:lang w:val="en-GB"/>
        </w:rPr>
        <w:t xml:space="preserve"> </w:t>
      </w:r>
      <w:r w:rsidR="001004C2">
        <w:rPr>
          <w:rFonts w:ascii="Georgia" w:hAnsi="Georgia"/>
          <w:sz w:val="20"/>
          <w:szCs w:val="22"/>
          <w:lang w:val="en-GB"/>
        </w:rPr>
        <w:t>Ma</w:t>
      </w:r>
      <w:r w:rsidR="006E79F6">
        <w:rPr>
          <w:rFonts w:ascii="Georgia" w:hAnsi="Georgia"/>
          <w:sz w:val="20"/>
          <w:szCs w:val="22"/>
          <w:lang w:val="en-GB"/>
        </w:rPr>
        <w:t>y 2021</w:t>
      </w:r>
    </w:p>
    <w:p w14:paraId="35694CAE" w14:textId="5657E6C2" w:rsidR="008561DC" w:rsidRPr="001A5AB5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 xml:space="preserve">Submitted </w:t>
      </w:r>
      <w:proofErr w:type="gramStart"/>
      <w:r w:rsidRPr="001A5AB5">
        <w:rPr>
          <w:rFonts w:ascii="Georgia" w:hAnsi="Georgia"/>
          <w:b/>
          <w:sz w:val="20"/>
          <w:szCs w:val="22"/>
          <w:lang w:val="en-GB"/>
        </w:rPr>
        <w:t>by:</w:t>
      </w:r>
      <w:proofErr w:type="gramEnd"/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703EAD">
        <w:rPr>
          <w:rFonts w:ascii="Georgia" w:hAnsi="Georgia"/>
          <w:b/>
          <w:sz w:val="20"/>
          <w:szCs w:val="22"/>
          <w:lang w:val="en-GB"/>
        </w:rPr>
        <w:t>CWSS</w:t>
      </w:r>
      <w:r w:rsidR="001004C2">
        <w:rPr>
          <w:rFonts w:ascii="Georgia" w:hAnsi="Georgia"/>
          <w:b/>
          <w:sz w:val="20"/>
          <w:szCs w:val="22"/>
          <w:lang w:val="en-GB"/>
        </w:rPr>
        <w:t xml:space="preserve"> &amp; chair TG-MA </w:t>
      </w:r>
    </w:p>
    <w:p w14:paraId="6130F6C5" w14:textId="5268B2FF" w:rsidR="00FA4FA6" w:rsidRPr="00FA4FA6" w:rsidRDefault="00FA4FA6" w:rsidP="00703EAD">
      <w:pPr>
        <w:pStyle w:val="Header"/>
        <w:spacing w:after="120" w:line="276" w:lineRule="auto"/>
        <w:rPr>
          <w:rFonts w:ascii="Georgia" w:hAnsi="Georgia"/>
          <w:b/>
          <w:bCs/>
          <w:sz w:val="20"/>
          <w:szCs w:val="22"/>
          <w:lang w:val="en-GB" w:eastAsia="de-DE"/>
        </w:rPr>
      </w:pPr>
      <w:r w:rsidRPr="00FA4FA6">
        <w:rPr>
          <w:rFonts w:ascii="Georgia" w:hAnsi="Georgia"/>
          <w:b/>
          <w:bCs/>
          <w:sz w:val="20"/>
          <w:szCs w:val="22"/>
          <w:lang w:val="en-GB" w:eastAsia="de-DE"/>
        </w:rPr>
        <w:t>Background</w:t>
      </w:r>
    </w:p>
    <w:p w14:paraId="79502A80" w14:textId="218701B2" w:rsidR="00703EAD" w:rsidRDefault="00703EAD" w:rsidP="00703EAD">
      <w:pPr>
        <w:pStyle w:val="Header"/>
        <w:spacing w:after="120" w:line="276" w:lineRule="auto"/>
        <w:rPr>
          <w:rFonts w:ascii="Georgia" w:hAnsi="Georgia"/>
          <w:sz w:val="20"/>
          <w:szCs w:val="22"/>
          <w:lang w:val="en-GB" w:eastAsia="de-DE"/>
        </w:rPr>
      </w:pPr>
      <w:r w:rsidRPr="00703EAD">
        <w:rPr>
          <w:rFonts w:ascii="Georgia" w:hAnsi="Georgia"/>
          <w:sz w:val="20"/>
          <w:szCs w:val="22"/>
          <w:lang w:val="en-GB" w:eastAsia="de-DE"/>
        </w:rPr>
        <w:t xml:space="preserve">Due to the activities on the revision and activation of TMAP during the German presidency (2018-2022), a full QSR cycle was not considered as feasible. As an alternative concept, the members of the coordinating Task Group </w:t>
      </w:r>
      <w:r w:rsidR="00640443">
        <w:rPr>
          <w:rFonts w:ascii="Georgia" w:hAnsi="Georgia"/>
          <w:sz w:val="20"/>
          <w:szCs w:val="22"/>
          <w:lang w:val="en-GB" w:eastAsia="de-DE"/>
        </w:rPr>
        <w:t>Monitoring</w:t>
      </w:r>
      <w:r w:rsidR="00640443" w:rsidRPr="00703EAD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Pr="00703EAD">
        <w:rPr>
          <w:rFonts w:ascii="Georgia" w:hAnsi="Georgia"/>
          <w:sz w:val="20"/>
          <w:szCs w:val="22"/>
          <w:lang w:val="en-GB" w:eastAsia="de-DE"/>
        </w:rPr>
        <w:t xml:space="preserve">&amp; Assessment (TG-MA), together with CWSS and the organizers of the International Wadden Sea Symposium (ISWSS), jointly developed the approach of mainly linking the selection of to-be-updated Thematic Reports to the headlines of the ISWSS. The symposium is considered as the ideal platform to discuss topic related findings or (if available) the reports. </w:t>
      </w:r>
      <w:r w:rsidR="001004C2" w:rsidRPr="00703EAD">
        <w:rPr>
          <w:rFonts w:ascii="Georgia" w:hAnsi="Georgia"/>
          <w:sz w:val="20"/>
          <w:szCs w:val="22"/>
          <w:lang w:val="en-GB" w:eastAsia="de-DE"/>
        </w:rPr>
        <w:t>Further report</w:t>
      </w:r>
      <w:r w:rsidR="00A263E3">
        <w:rPr>
          <w:rFonts w:ascii="Georgia" w:hAnsi="Georgia"/>
          <w:sz w:val="20"/>
          <w:szCs w:val="22"/>
          <w:lang w:val="en-GB" w:eastAsia="de-DE"/>
        </w:rPr>
        <w:t>s</w:t>
      </w:r>
      <w:r w:rsidR="001004C2" w:rsidRPr="00703EAD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A263E3">
        <w:rPr>
          <w:rFonts w:ascii="Georgia" w:hAnsi="Georgia"/>
          <w:sz w:val="20"/>
          <w:szCs w:val="22"/>
          <w:lang w:val="en-GB" w:eastAsia="de-DE"/>
        </w:rPr>
        <w:t xml:space="preserve">were commissioned </w:t>
      </w:r>
      <w:r w:rsidR="001004C2" w:rsidRPr="00703EAD">
        <w:rPr>
          <w:rFonts w:ascii="Georgia" w:hAnsi="Georgia"/>
          <w:sz w:val="20"/>
          <w:szCs w:val="22"/>
          <w:lang w:val="en-GB" w:eastAsia="de-DE"/>
        </w:rPr>
        <w:t xml:space="preserve">considering the key topics of the Single Integrated Management Plan (SIMP), which is currently under development for the Wadden Sea World Heritage. </w:t>
      </w:r>
      <w:r w:rsidRPr="00703EAD">
        <w:rPr>
          <w:rFonts w:ascii="Georgia" w:hAnsi="Georgia"/>
          <w:sz w:val="20"/>
          <w:szCs w:val="22"/>
          <w:lang w:val="en-GB" w:eastAsia="de-DE"/>
        </w:rPr>
        <w:t xml:space="preserve">The final reports are scheduled to be ready for online publication in the second half of 2021. </w:t>
      </w:r>
    </w:p>
    <w:p w14:paraId="06FB97B9" w14:textId="77777777" w:rsidR="00FA4FA6" w:rsidRDefault="00FA4FA6" w:rsidP="00703EAD">
      <w:pPr>
        <w:pStyle w:val="Header"/>
        <w:spacing w:after="120" w:line="276" w:lineRule="auto"/>
        <w:rPr>
          <w:rFonts w:ascii="Georgia" w:hAnsi="Georgia"/>
          <w:b/>
          <w:bCs/>
          <w:sz w:val="20"/>
          <w:szCs w:val="22"/>
          <w:lang w:val="en-GB" w:eastAsia="de-DE"/>
        </w:rPr>
      </w:pPr>
    </w:p>
    <w:p w14:paraId="19025E29" w14:textId="572D7C04" w:rsidR="00FA4FA6" w:rsidRPr="00FA4FA6" w:rsidRDefault="00FA4FA6" w:rsidP="00703EAD">
      <w:pPr>
        <w:pStyle w:val="Header"/>
        <w:spacing w:after="120" w:line="276" w:lineRule="auto"/>
        <w:rPr>
          <w:rFonts w:ascii="Georgia" w:hAnsi="Georgia"/>
          <w:b/>
          <w:bCs/>
          <w:sz w:val="20"/>
          <w:szCs w:val="22"/>
          <w:lang w:val="en-GB" w:eastAsia="de-DE"/>
        </w:rPr>
      </w:pPr>
      <w:r w:rsidRPr="00FA4FA6">
        <w:rPr>
          <w:rFonts w:ascii="Georgia" w:hAnsi="Georgia"/>
          <w:b/>
          <w:bCs/>
          <w:sz w:val="20"/>
          <w:szCs w:val="22"/>
          <w:lang w:val="en-GB" w:eastAsia="de-DE"/>
        </w:rPr>
        <w:t>QSR Thematic Reports</w:t>
      </w:r>
    </w:p>
    <w:p w14:paraId="327AF28A" w14:textId="3C15F91C" w:rsidR="001004C2" w:rsidRDefault="001004C2" w:rsidP="001004C2">
      <w:pPr>
        <w:spacing w:line="276" w:lineRule="auto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 xml:space="preserve">Table 1. QSR Thematic Reports </w:t>
      </w:r>
      <w:r w:rsidR="000838E0">
        <w:rPr>
          <w:rFonts w:ascii="Georgia" w:hAnsi="Georgia"/>
          <w:b/>
          <w:bCs/>
          <w:sz w:val="18"/>
          <w:szCs w:val="18"/>
        </w:rPr>
        <w:t xml:space="preserve">selected </w:t>
      </w:r>
      <w:r>
        <w:rPr>
          <w:rFonts w:ascii="Georgia" w:hAnsi="Georgia"/>
          <w:b/>
          <w:bCs/>
          <w:sz w:val="18"/>
          <w:szCs w:val="18"/>
        </w:rPr>
        <w:t xml:space="preserve">for </w:t>
      </w:r>
      <w:proofErr w:type="gramStart"/>
      <w:r>
        <w:rPr>
          <w:rFonts w:ascii="Georgia" w:hAnsi="Georgia"/>
          <w:b/>
          <w:bCs/>
          <w:sz w:val="18"/>
          <w:szCs w:val="18"/>
        </w:rPr>
        <w:t>updating</w:t>
      </w:r>
      <w:proofErr w:type="gramEnd"/>
    </w:p>
    <w:p w14:paraId="31B76AB4" w14:textId="77777777" w:rsidR="001004C2" w:rsidRDefault="001004C2" w:rsidP="001004C2">
      <w:pPr>
        <w:spacing w:line="276" w:lineRule="auto"/>
        <w:rPr>
          <w:rFonts w:ascii="Georgia" w:hAnsi="Georgia"/>
          <w:sz w:val="20"/>
          <w:szCs w:val="20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2168"/>
        <w:gridCol w:w="1289"/>
        <w:gridCol w:w="2727"/>
        <w:gridCol w:w="1948"/>
      </w:tblGrid>
      <w:tr w:rsidR="001004C2" w:rsidRPr="001004C2" w14:paraId="06307F33" w14:textId="77777777" w:rsidTr="001004C2">
        <w:trPr>
          <w:trHeight w:val="75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792" w14:textId="77777777" w:rsidR="001004C2" w:rsidRPr="00640443" w:rsidRDefault="001004C2" w:rsidP="001004C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25F6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QSR THEMATIC REPORT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1180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Update </w:t>
            </w: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selection</w:t>
            </w:r>
            <w:proofErr w:type="spellEnd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br/>
            </w: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Criterium</w:t>
            </w:r>
            <w:proofErr w:type="spellEnd"/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521D" w14:textId="5D0636EB" w:rsidR="001004C2" w:rsidRPr="001004C2" w:rsidRDefault="00A263E3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Related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trilateral </w:t>
            </w:r>
            <w:proofErr w:type="spellStart"/>
            <w:r w:rsidR="001004C2"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group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7EA9F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lead</w:t>
            </w:r>
            <w:proofErr w:type="spellEnd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author</w:t>
            </w:r>
            <w:proofErr w:type="spellEnd"/>
          </w:p>
        </w:tc>
      </w:tr>
      <w:tr w:rsidR="001004C2" w:rsidRPr="001004C2" w14:paraId="31E66A82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C2A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E96B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Alien </w:t>
            </w: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Species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6A0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ISWSS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290E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 xml:space="preserve">EG-Alien </w:t>
            </w:r>
            <w:proofErr w:type="spellStart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Species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C904" w14:textId="14F2AF60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 xml:space="preserve">Büttger, H. </w:t>
            </w:r>
          </w:p>
        </w:tc>
      </w:tr>
      <w:tr w:rsidR="001004C2" w:rsidRPr="001004C2" w14:paraId="1C6AEB5B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EB6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42E2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Breeding</w:t>
            </w:r>
            <w:proofErr w:type="spellEnd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Birds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7D5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ISWSS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4E8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EG-</w:t>
            </w:r>
            <w:proofErr w:type="spellStart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Breeding</w:t>
            </w:r>
            <w:proofErr w:type="spellEnd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 xml:space="preserve"> Birds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B98C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Koffijberg, Kees</w:t>
            </w:r>
          </w:p>
        </w:tc>
      </w:tr>
      <w:tr w:rsidR="001004C2" w:rsidRPr="001004C2" w14:paraId="2FC28663" w14:textId="77777777" w:rsidTr="001004C2">
        <w:trPr>
          <w:trHeight w:val="48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BE14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E2B3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Climate Change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A46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WG initiative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2F9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EG-Climate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789A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Zijlstra</w:t>
            </w:r>
            <w:proofErr w:type="spellEnd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 xml:space="preserve">, Robert; </w:t>
            </w: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br/>
              <w:t>Philippart, Katja</w:t>
            </w:r>
          </w:p>
        </w:tc>
      </w:tr>
      <w:tr w:rsidR="001004C2" w:rsidRPr="001004C2" w14:paraId="68986A1C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40A8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BD1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Energy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227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SIMP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1C0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TG-Management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8357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Christoph, Sina</w:t>
            </w:r>
          </w:p>
        </w:tc>
      </w:tr>
      <w:tr w:rsidR="001004C2" w:rsidRPr="001004C2" w14:paraId="6BC4DBA6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9548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AE38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Fish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39F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ISWSS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D53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WG-Swimway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0F04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Tulp</w:t>
            </w:r>
            <w:proofErr w:type="spellEnd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, Ingrid</w:t>
            </w:r>
          </w:p>
        </w:tc>
      </w:tr>
      <w:tr w:rsidR="001004C2" w:rsidRPr="001004C2" w14:paraId="423199BB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6F47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0049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Fisheries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659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SIMP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87B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TG-Management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697D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Fock, Heino</w:t>
            </w:r>
          </w:p>
        </w:tc>
      </w:tr>
      <w:tr w:rsidR="001004C2" w:rsidRPr="001004C2" w14:paraId="24147577" w14:textId="77777777" w:rsidTr="001004C2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730E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493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Flyway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6D9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ISWSS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FECD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  <w:t xml:space="preserve">EG-Migratory Birds, </w:t>
            </w: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  <w:br/>
              <w:t>WSFI Steering Group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EF4DC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 xml:space="preserve">van </w:t>
            </w:r>
            <w:proofErr w:type="spellStart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Roomen</w:t>
            </w:r>
            <w:proofErr w:type="spellEnd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, M.</w:t>
            </w:r>
          </w:p>
        </w:tc>
      </w:tr>
      <w:tr w:rsidR="001004C2" w:rsidRPr="001004C2" w14:paraId="777CF7AB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0C08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526B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Marine </w:t>
            </w: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Mammals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F99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ISWSS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8A6D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 xml:space="preserve">EG-Seals (Marine </w:t>
            </w:r>
            <w:proofErr w:type="spellStart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Mammals</w:t>
            </w:r>
            <w:proofErr w:type="spellEnd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22E8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Unger, B.</w:t>
            </w:r>
          </w:p>
        </w:tc>
      </w:tr>
      <w:tr w:rsidR="001004C2" w:rsidRPr="001004C2" w14:paraId="1A3EF259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FB6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4DF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Migratory</w:t>
            </w:r>
            <w:proofErr w:type="spellEnd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Birds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6AFE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ISWSS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CCB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EG-</w:t>
            </w:r>
            <w:proofErr w:type="spellStart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Migratory</w:t>
            </w:r>
            <w:proofErr w:type="spellEnd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 xml:space="preserve"> Birds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0DC45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Kleefstra</w:t>
            </w:r>
            <w:proofErr w:type="spellEnd"/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, F.</w:t>
            </w:r>
          </w:p>
        </w:tc>
      </w:tr>
      <w:tr w:rsidR="001004C2" w:rsidRPr="001004C2" w14:paraId="4389BD44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0B68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521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Shipping and Harbours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90A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SIMP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677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TG-Management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EEB0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Bahlke, C.</w:t>
            </w:r>
          </w:p>
        </w:tc>
      </w:tr>
      <w:tr w:rsidR="001004C2" w:rsidRPr="001004C2" w14:paraId="1410FE7C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9FB0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EF71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Sublitoral Habitats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6FC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ISWSS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4F95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TG-Monitoring and Assessment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DF64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Ricklefs, K.</w:t>
            </w:r>
          </w:p>
        </w:tc>
      </w:tr>
      <w:tr w:rsidR="001004C2" w:rsidRPr="001004C2" w14:paraId="5AEC4AA4" w14:textId="77777777" w:rsidTr="001004C2">
        <w:trPr>
          <w:trHeight w:val="48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97E3" w14:textId="77777777" w:rsidR="001004C2" w:rsidRPr="001004C2" w:rsidRDefault="001004C2" w:rsidP="001004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12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CC2F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Tourism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167E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de-DE" w:eastAsia="de-DE"/>
              </w:rPr>
              <w:t>SIMP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D6E" w14:textId="0A87DDAA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  <w:t>NG-Tourism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F271D" w14:textId="1548D999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  <w:t>Hartmann,  S.;</w:t>
            </w: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  <w:br/>
              <w:t>Arnegger, J. (</w:t>
            </w:r>
            <w:r w:rsidR="00667D54" w:rsidRPr="00667D54"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  <w:t xml:space="preserve">both </w:t>
            </w:r>
            <w:r w:rsidRPr="001004C2"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  <w:t>tbc)</w:t>
            </w:r>
          </w:p>
        </w:tc>
      </w:tr>
      <w:tr w:rsidR="001004C2" w:rsidRPr="001004C2" w14:paraId="69628001" w14:textId="77777777" w:rsidTr="001004C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DE1" w14:textId="77777777" w:rsidR="001004C2" w:rsidRPr="001004C2" w:rsidRDefault="001004C2" w:rsidP="001004C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5496" w14:textId="77777777" w:rsidR="001004C2" w:rsidRPr="001004C2" w:rsidRDefault="001004C2" w:rsidP="001004C2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BBCA" w14:textId="77777777" w:rsidR="001004C2" w:rsidRPr="001004C2" w:rsidRDefault="001004C2" w:rsidP="001004C2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D7D3" w14:textId="77777777" w:rsidR="001004C2" w:rsidRPr="001004C2" w:rsidRDefault="001004C2" w:rsidP="001004C2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9045" w14:textId="77777777" w:rsidR="001004C2" w:rsidRPr="001004C2" w:rsidRDefault="001004C2" w:rsidP="001004C2">
            <w:pPr>
              <w:rPr>
                <w:sz w:val="20"/>
                <w:szCs w:val="20"/>
                <w:lang w:val="en-GB" w:eastAsia="de-DE"/>
              </w:rPr>
            </w:pPr>
          </w:p>
        </w:tc>
      </w:tr>
      <w:tr w:rsidR="001004C2" w:rsidRPr="001004C2" w14:paraId="512E197B" w14:textId="77777777" w:rsidTr="001004C2">
        <w:trPr>
          <w:trHeight w:val="45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782" w14:textId="77777777" w:rsidR="001004C2" w:rsidRPr="001004C2" w:rsidRDefault="001004C2" w:rsidP="001004C2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1457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 xml:space="preserve">Salt </w:t>
            </w:r>
            <w:proofErr w:type="spellStart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>Marshes</w:t>
            </w:r>
            <w:proofErr w:type="spellEnd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 xml:space="preserve"> and </w:t>
            </w:r>
            <w:proofErr w:type="spellStart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>Dunes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3DB3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>EG initiative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2AE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 xml:space="preserve">EG Salt </w:t>
            </w:r>
            <w:proofErr w:type="spellStart"/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>Marshes</w:t>
            </w:r>
            <w:proofErr w:type="spellEnd"/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 xml:space="preserve"> and </w:t>
            </w:r>
            <w:proofErr w:type="spellStart"/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>Dunes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0134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</w:pP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  <w:t>implementation postponed</w:t>
            </w: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  <w:br/>
              <w:t>due to financial limitations</w:t>
            </w:r>
          </w:p>
        </w:tc>
      </w:tr>
      <w:tr w:rsidR="001004C2" w:rsidRPr="001004C2" w14:paraId="542AB4E0" w14:textId="77777777" w:rsidTr="001004C2">
        <w:trPr>
          <w:trHeight w:val="72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6B9B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170B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>Hazardous</w:t>
            </w:r>
            <w:proofErr w:type="spellEnd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>Substances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ACAE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>Pending</w:t>
            </w:r>
            <w:proofErr w:type="spellEnd"/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>report</w:t>
            </w:r>
            <w:proofErr w:type="spellEnd"/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br/>
            </w:r>
            <w:proofErr w:type="spellStart"/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>from</w:t>
            </w:r>
            <w:proofErr w:type="spellEnd"/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 xml:space="preserve"> 2017 QSR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514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>TG-Monitoring and Assessment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0903F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</w:pP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  <w:t>Study on data status</w:t>
            </w: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  <w:br/>
              <w:t xml:space="preserve">commissioned - </w:t>
            </w: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  <w:br/>
              <w:t>report further delayed</w:t>
            </w:r>
          </w:p>
        </w:tc>
      </w:tr>
      <w:tr w:rsidR="001004C2" w:rsidRPr="001004C2" w14:paraId="679F5151" w14:textId="77777777" w:rsidTr="001004C2">
        <w:trPr>
          <w:trHeight w:val="48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D61C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B6C1" w14:textId="77777777" w:rsidR="001004C2" w:rsidRPr="001004C2" w:rsidRDefault="001004C2" w:rsidP="001004C2">
            <w:pPr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</w:pPr>
            <w:proofErr w:type="spellStart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>Coastal</w:t>
            </w:r>
            <w:proofErr w:type="spellEnd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>Protection</w:t>
            </w:r>
            <w:proofErr w:type="spellEnd"/>
            <w:r w:rsidRPr="001004C2">
              <w:rPr>
                <w:rFonts w:ascii="Calibri" w:hAnsi="Calibri" w:cs="Calibri"/>
                <w:b/>
                <w:bCs/>
                <w:i/>
                <w:iCs/>
                <w:color w:val="757171"/>
                <w:sz w:val="18"/>
                <w:szCs w:val="18"/>
                <w:lang w:val="de-DE" w:eastAsia="de-DE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E801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>SIMP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255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</w:pP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de-DE" w:eastAsia="de-DE"/>
              </w:rPr>
              <w:t>EG-Climate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018D" w14:textId="77777777" w:rsidR="001004C2" w:rsidRPr="001004C2" w:rsidRDefault="001004C2" w:rsidP="001004C2">
            <w:pPr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</w:pPr>
            <w:r w:rsidRPr="001004C2">
              <w:rPr>
                <w:rFonts w:ascii="Calibri" w:hAnsi="Calibri" w:cs="Calibri"/>
                <w:i/>
                <w:iCs/>
                <w:color w:val="757171"/>
                <w:sz w:val="18"/>
                <w:szCs w:val="18"/>
                <w:lang w:val="en-GB" w:eastAsia="de-DE"/>
              </w:rPr>
              <w:t>Cancellation based on author assessment</w:t>
            </w:r>
          </w:p>
        </w:tc>
      </w:tr>
    </w:tbl>
    <w:p w14:paraId="2BB0CE22" w14:textId="77777777" w:rsidR="001004C2" w:rsidRPr="001004C2" w:rsidRDefault="001004C2" w:rsidP="001004C2">
      <w:pPr>
        <w:spacing w:line="276" w:lineRule="auto"/>
        <w:rPr>
          <w:rFonts w:ascii="Georgia" w:hAnsi="Georgia"/>
          <w:sz w:val="20"/>
          <w:szCs w:val="20"/>
          <w:lang w:val="en-GB"/>
        </w:rPr>
      </w:pPr>
    </w:p>
    <w:p w14:paraId="38E0A9D8" w14:textId="77777777" w:rsidR="001004C2" w:rsidRDefault="001004C2" w:rsidP="001004C2">
      <w:pPr>
        <w:spacing w:line="276" w:lineRule="auto"/>
        <w:rPr>
          <w:rFonts w:ascii="Georgia" w:hAnsi="Georgia"/>
          <w:b/>
          <w:bCs/>
          <w:sz w:val="20"/>
          <w:szCs w:val="20"/>
        </w:rPr>
      </w:pPr>
    </w:p>
    <w:p w14:paraId="4E44917E" w14:textId="1843EFCD" w:rsidR="00FA4FA6" w:rsidRDefault="00FA4FA6" w:rsidP="00FA4FA6">
      <w:pPr>
        <w:rPr>
          <w:rFonts w:ascii="Georgia" w:hAnsi="Georgia" w:cs="Arial"/>
          <w:bCs/>
          <w:sz w:val="20"/>
          <w:szCs w:val="20"/>
        </w:rPr>
      </w:pPr>
      <w:r w:rsidRPr="00FA4FA6">
        <w:rPr>
          <w:rFonts w:ascii="Georgia" w:hAnsi="Georgia" w:cs="Arial"/>
          <w:bCs/>
          <w:sz w:val="20"/>
          <w:szCs w:val="20"/>
        </w:rPr>
        <w:t xml:space="preserve">The following </w:t>
      </w:r>
      <w:r w:rsidRPr="00A263E3">
        <w:rPr>
          <w:rFonts w:ascii="Georgia" w:hAnsi="Georgia" w:cs="Arial"/>
          <w:b/>
          <w:sz w:val="20"/>
          <w:szCs w:val="20"/>
        </w:rPr>
        <w:t>deadlines</w:t>
      </w:r>
      <w:r w:rsidRPr="00FA4FA6">
        <w:rPr>
          <w:rFonts w:ascii="Georgia" w:hAnsi="Georgia" w:cs="Arial"/>
          <w:bCs/>
          <w:sz w:val="20"/>
          <w:szCs w:val="20"/>
        </w:rPr>
        <w:t xml:space="preserve"> apply </w:t>
      </w:r>
      <w:proofErr w:type="gramStart"/>
      <w:r w:rsidRPr="00FA4FA6">
        <w:rPr>
          <w:rFonts w:ascii="Georgia" w:hAnsi="Georgia" w:cs="Arial"/>
          <w:bCs/>
          <w:sz w:val="20"/>
          <w:szCs w:val="20"/>
        </w:rPr>
        <w:t>for the production of</w:t>
      </w:r>
      <w:proofErr w:type="gramEnd"/>
      <w:r w:rsidRPr="00FA4FA6">
        <w:rPr>
          <w:rFonts w:ascii="Georgia" w:hAnsi="Georgia" w:cs="Arial"/>
          <w:bCs/>
          <w:sz w:val="20"/>
          <w:szCs w:val="20"/>
        </w:rPr>
        <w:t xml:space="preserve"> the reports</w:t>
      </w:r>
      <w:r w:rsidR="00A263E3">
        <w:rPr>
          <w:rFonts w:ascii="Georgia" w:hAnsi="Georgia" w:cs="Arial"/>
          <w:bCs/>
          <w:sz w:val="20"/>
          <w:szCs w:val="20"/>
        </w:rPr>
        <w:t>:</w:t>
      </w:r>
      <w:r w:rsidRPr="00FA4FA6">
        <w:rPr>
          <w:rFonts w:ascii="Georgia" w:hAnsi="Georgia" w:cs="Arial"/>
          <w:bCs/>
          <w:sz w:val="20"/>
          <w:szCs w:val="20"/>
        </w:rPr>
        <w:t xml:space="preserve"> </w:t>
      </w:r>
    </w:p>
    <w:p w14:paraId="4EF508CB" w14:textId="77777777" w:rsidR="00FA4FA6" w:rsidRPr="00FA4FA6" w:rsidRDefault="00FA4FA6" w:rsidP="00FA4FA6">
      <w:pPr>
        <w:rPr>
          <w:rFonts w:ascii="Georgia" w:hAnsi="Georgia" w:cs="Arial"/>
          <w:bCs/>
          <w:sz w:val="20"/>
          <w:szCs w:val="20"/>
        </w:rPr>
      </w:pPr>
    </w:p>
    <w:p w14:paraId="378E7C05" w14:textId="77777777" w:rsidR="00FA4FA6" w:rsidRPr="00FA4FA6" w:rsidRDefault="00FA4FA6" w:rsidP="00FA4FA6">
      <w:pPr>
        <w:rPr>
          <w:rFonts w:ascii="Georgia" w:hAnsi="Georgia" w:cs="Arial"/>
          <w:sz w:val="20"/>
          <w:szCs w:val="20"/>
        </w:rPr>
      </w:pPr>
      <w:r w:rsidRPr="00FA4FA6">
        <w:rPr>
          <w:rFonts w:ascii="Georgia" w:hAnsi="Georgia" w:cs="Arial"/>
          <w:sz w:val="20"/>
          <w:szCs w:val="20"/>
        </w:rPr>
        <w:t>First concept and potential content ready to be discussed:</w:t>
      </w:r>
      <w:r w:rsidRPr="00FA4FA6">
        <w:rPr>
          <w:rFonts w:ascii="Georgia" w:hAnsi="Georgia" w:cs="Arial"/>
          <w:sz w:val="20"/>
          <w:szCs w:val="20"/>
        </w:rPr>
        <w:tab/>
        <w:t xml:space="preserve">March </w:t>
      </w:r>
      <w:proofErr w:type="gramStart"/>
      <w:r w:rsidRPr="00FA4FA6">
        <w:rPr>
          <w:rFonts w:ascii="Georgia" w:hAnsi="Georgia" w:cs="Arial"/>
          <w:sz w:val="20"/>
          <w:szCs w:val="20"/>
        </w:rPr>
        <w:t>2021</w:t>
      </w:r>
      <w:proofErr w:type="gramEnd"/>
    </w:p>
    <w:p w14:paraId="70389F35" w14:textId="2835DC87" w:rsidR="00FA4FA6" w:rsidRPr="00FA4FA6" w:rsidRDefault="00FA4FA6" w:rsidP="00FA4FA6">
      <w:pPr>
        <w:rPr>
          <w:rFonts w:ascii="Georgia" w:hAnsi="Georgia" w:cs="Arial"/>
          <w:sz w:val="20"/>
          <w:szCs w:val="20"/>
        </w:rPr>
      </w:pPr>
      <w:r w:rsidRPr="00FA4FA6">
        <w:rPr>
          <w:rFonts w:ascii="Georgia" w:hAnsi="Georgia" w:cs="Arial"/>
          <w:sz w:val="20"/>
          <w:szCs w:val="20"/>
        </w:rPr>
        <w:t xml:space="preserve">First draft of Thematic Reports: </w:t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  <w:t>01 June 2021</w:t>
      </w:r>
    </w:p>
    <w:p w14:paraId="4740BAD3" w14:textId="77777777" w:rsidR="00FA4FA6" w:rsidRPr="00FA4FA6" w:rsidRDefault="00FA4FA6" w:rsidP="00FA4FA6">
      <w:pPr>
        <w:rPr>
          <w:rFonts w:ascii="Georgia" w:hAnsi="Georgia" w:cs="Arial"/>
          <w:sz w:val="20"/>
          <w:szCs w:val="20"/>
        </w:rPr>
      </w:pPr>
      <w:r w:rsidRPr="00FA4FA6">
        <w:rPr>
          <w:rFonts w:ascii="Georgia" w:hAnsi="Georgia" w:cs="Arial"/>
          <w:sz w:val="20"/>
          <w:szCs w:val="20"/>
        </w:rPr>
        <w:t xml:space="preserve">Final draft: </w:t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  <w:t>15 October 2021</w:t>
      </w:r>
    </w:p>
    <w:p w14:paraId="194C1330" w14:textId="2DE73D0C" w:rsidR="00FA4FA6" w:rsidRPr="00FA4FA6" w:rsidRDefault="00FA4FA6" w:rsidP="00FA4FA6">
      <w:pPr>
        <w:rPr>
          <w:rFonts w:ascii="Georgia" w:hAnsi="Georgia" w:cs="Arial"/>
          <w:sz w:val="20"/>
          <w:szCs w:val="20"/>
        </w:rPr>
      </w:pPr>
      <w:r w:rsidRPr="00FA4FA6">
        <w:rPr>
          <w:rFonts w:ascii="Georgia" w:hAnsi="Georgia" w:cs="Arial"/>
          <w:sz w:val="20"/>
          <w:szCs w:val="20"/>
        </w:rPr>
        <w:t>ISWSS for discussion/presentation</w:t>
      </w:r>
      <w:r>
        <w:rPr>
          <w:rFonts w:ascii="Georgia" w:hAnsi="Georgia" w:cs="Arial"/>
          <w:sz w:val="20"/>
          <w:szCs w:val="20"/>
        </w:rPr>
        <w:t xml:space="preserve"> (if applicable)</w:t>
      </w:r>
      <w:r w:rsidRPr="00FA4FA6">
        <w:rPr>
          <w:rFonts w:ascii="Georgia" w:hAnsi="Georgia" w:cs="Arial"/>
          <w:sz w:val="20"/>
          <w:szCs w:val="20"/>
        </w:rPr>
        <w:t>:</w:t>
      </w:r>
      <w:r w:rsidRPr="00FA4FA6">
        <w:rPr>
          <w:rFonts w:ascii="Georgia" w:hAnsi="Georgia" w:cs="Arial"/>
          <w:sz w:val="20"/>
          <w:szCs w:val="20"/>
        </w:rPr>
        <w:tab/>
      </w:r>
      <w:r w:rsidRPr="00FA4FA6">
        <w:rPr>
          <w:rFonts w:ascii="Georgia" w:hAnsi="Georgia" w:cs="Arial"/>
          <w:sz w:val="20"/>
          <w:szCs w:val="20"/>
        </w:rPr>
        <w:tab/>
        <w:t>30. Nov. - 03. Dec. 2021</w:t>
      </w:r>
    </w:p>
    <w:p w14:paraId="09FF74F0" w14:textId="77777777" w:rsidR="00FA4FA6" w:rsidRDefault="00FA4FA6" w:rsidP="00703EAD">
      <w:pPr>
        <w:pStyle w:val="Header"/>
        <w:spacing w:after="120" w:line="276" w:lineRule="auto"/>
        <w:rPr>
          <w:rFonts w:ascii="Georgia" w:hAnsi="Georgia" w:cs="Arial"/>
          <w:bCs/>
          <w:sz w:val="20"/>
          <w:szCs w:val="20"/>
        </w:rPr>
      </w:pPr>
    </w:p>
    <w:p w14:paraId="17559AFA" w14:textId="523500DD" w:rsidR="00FA4FA6" w:rsidRDefault="00A263E3" w:rsidP="00703EAD">
      <w:pPr>
        <w:pStyle w:val="Header"/>
        <w:spacing w:after="120" w:line="276" w:lineRule="auto"/>
        <w:rPr>
          <w:rFonts w:ascii="Georgia" w:hAnsi="Georgia"/>
          <w:sz w:val="20"/>
          <w:szCs w:val="22"/>
          <w:lang w:eastAsia="de-DE"/>
        </w:rPr>
      </w:pPr>
      <w:r>
        <w:rPr>
          <w:rFonts w:ascii="Georgia" w:hAnsi="Georgia" w:cs="Arial"/>
          <w:bCs/>
          <w:sz w:val="20"/>
          <w:szCs w:val="20"/>
        </w:rPr>
        <w:t>An</w:t>
      </w:r>
      <w:r w:rsidR="00FA4FA6" w:rsidRPr="00FA4FA6">
        <w:rPr>
          <w:rFonts w:ascii="Georgia" w:hAnsi="Georgia" w:cs="Arial"/>
          <w:bCs/>
          <w:sz w:val="20"/>
          <w:szCs w:val="20"/>
        </w:rPr>
        <w:t xml:space="preserve"> </w:t>
      </w:r>
      <w:r>
        <w:rPr>
          <w:rFonts w:ascii="Georgia" w:hAnsi="Georgia" w:cs="Arial"/>
          <w:bCs/>
          <w:sz w:val="20"/>
          <w:szCs w:val="20"/>
        </w:rPr>
        <w:t>informal exchange</w:t>
      </w:r>
      <w:r w:rsidR="00FA4FA6" w:rsidRPr="00FA4FA6">
        <w:rPr>
          <w:rFonts w:ascii="Georgia" w:hAnsi="Georgia" w:cs="Arial"/>
          <w:bCs/>
          <w:sz w:val="20"/>
          <w:szCs w:val="20"/>
        </w:rPr>
        <w:t xml:space="preserve"> between the authors and CWSS on recent developments</w:t>
      </w:r>
      <w:r>
        <w:rPr>
          <w:rFonts w:ascii="Georgia" w:hAnsi="Georgia" w:cs="Arial"/>
          <w:bCs/>
          <w:sz w:val="20"/>
          <w:szCs w:val="20"/>
        </w:rPr>
        <w:t>, status of the draft and options for support is ongoing</w:t>
      </w:r>
      <w:r w:rsidR="00FA4FA6">
        <w:rPr>
          <w:rFonts w:ascii="Georgia" w:hAnsi="Georgia" w:cs="Arial"/>
          <w:bCs/>
          <w:sz w:val="20"/>
          <w:szCs w:val="20"/>
        </w:rPr>
        <w:t>.</w:t>
      </w:r>
    </w:p>
    <w:p w14:paraId="5BABA7CD" w14:textId="0E8088FE" w:rsidR="00FA4FA6" w:rsidRDefault="00FA4FA6" w:rsidP="00703EAD">
      <w:pPr>
        <w:pStyle w:val="Header"/>
        <w:spacing w:after="120" w:line="276" w:lineRule="auto"/>
        <w:rPr>
          <w:rFonts w:ascii="Georgia" w:hAnsi="Georgia"/>
          <w:sz w:val="20"/>
          <w:szCs w:val="22"/>
          <w:lang w:eastAsia="de-DE"/>
        </w:rPr>
      </w:pPr>
    </w:p>
    <w:p w14:paraId="741424A1" w14:textId="18B5ABBD" w:rsidR="00FA4FA6" w:rsidRPr="00FA4FA6" w:rsidRDefault="00A263E3" w:rsidP="00703EAD">
      <w:pPr>
        <w:pStyle w:val="Header"/>
        <w:spacing w:after="120" w:line="276" w:lineRule="auto"/>
        <w:rPr>
          <w:rFonts w:ascii="Georgia" w:hAnsi="Georgia"/>
          <w:b/>
          <w:bCs/>
          <w:sz w:val="20"/>
          <w:szCs w:val="22"/>
          <w:lang w:eastAsia="de-DE"/>
        </w:rPr>
      </w:pPr>
      <w:r>
        <w:rPr>
          <w:rFonts w:ascii="Georgia" w:hAnsi="Georgia"/>
          <w:b/>
          <w:bCs/>
          <w:sz w:val="20"/>
          <w:szCs w:val="22"/>
          <w:lang w:eastAsia="de-DE"/>
        </w:rPr>
        <w:t>Editorial Board and r</w:t>
      </w:r>
      <w:r w:rsidR="00FA4FA6" w:rsidRPr="00FA4FA6">
        <w:rPr>
          <w:rFonts w:ascii="Georgia" w:hAnsi="Georgia"/>
          <w:b/>
          <w:bCs/>
          <w:sz w:val="20"/>
          <w:szCs w:val="22"/>
          <w:lang w:eastAsia="de-DE"/>
        </w:rPr>
        <w:t>eview process</w:t>
      </w:r>
    </w:p>
    <w:p w14:paraId="6FCAD227" w14:textId="3EA7B1DB" w:rsidR="001004C2" w:rsidRDefault="00667D54" w:rsidP="00703EAD">
      <w:pPr>
        <w:pStyle w:val="Header"/>
        <w:spacing w:after="120" w:line="276" w:lineRule="auto"/>
        <w:rPr>
          <w:rFonts w:ascii="Georgia" w:hAnsi="Georgia"/>
          <w:sz w:val="20"/>
          <w:szCs w:val="22"/>
          <w:lang w:eastAsia="de-DE"/>
        </w:rPr>
      </w:pPr>
      <w:r>
        <w:rPr>
          <w:rFonts w:ascii="Georgia" w:hAnsi="Georgia"/>
          <w:sz w:val="20"/>
          <w:szCs w:val="22"/>
          <w:lang w:eastAsia="de-DE"/>
        </w:rPr>
        <w:t xml:space="preserve">After final </w:t>
      </w:r>
      <w:r w:rsidR="00640443">
        <w:rPr>
          <w:rFonts w:ascii="Georgia" w:hAnsi="Georgia"/>
          <w:sz w:val="20"/>
          <w:szCs w:val="22"/>
          <w:lang w:eastAsia="de-DE"/>
        </w:rPr>
        <w:t xml:space="preserve">agreement </w:t>
      </w:r>
      <w:r>
        <w:rPr>
          <w:rFonts w:ascii="Georgia" w:hAnsi="Georgia"/>
          <w:sz w:val="20"/>
          <w:szCs w:val="22"/>
          <w:lang w:eastAsia="de-DE"/>
        </w:rPr>
        <w:t xml:space="preserve">on the TOR for the QSR </w:t>
      </w:r>
      <w:r w:rsidR="00A263E3">
        <w:rPr>
          <w:rFonts w:ascii="Georgia" w:hAnsi="Georgia"/>
          <w:sz w:val="20"/>
          <w:szCs w:val="22"/>
          <w:lang w:eastAsia="de-DE"/>
        </w:rPr>
        <w:t xml:space="preserve">Editorial </w:t>
      </w:r>
      <w:r>
        <w:rPr>
          <w:rFonts w:ascii="Georgia" w:hAnsi="Georgia"/>
          <w:sz w:val="20"/>
          <w:szCs w:val="22"/>
          <w:lang w:eastAsia="de-DE"/>
        </w:rPr>
        <w:t>Board</w:t>
      </w:r>
      <w:r w:rsidR="00FA4FA6">
        <w:rPr>
          <w:rFonts w:ascii="Georgia" w:hAnsi="Georgia"/>
          <w:sz w:val="20"/>
          <w:szCs w:val="22"/>
          <w:lang w:eastAsia="de-DE"/>
        </w:rPr>
        <w:t xml:space="preserve"> and the nomination </w:t>
      </w:r>
      <w:r w:rsidR="00A263E3">
        <w:rPr>
          <w:rFonts w:ascii="Georgia" w:hAnsi="Georgia"/>
          <w:sz w:val="20"/>
          <w:szCs w:val="22"/>
          <w:lang w:eastAsia="de-DE"/>
        </w:rPr>
        <w:t>of</w:t>
      </w:r>
      <w:r w:rsidR="00FA4FA6">
        <w:rPr>
          <w:rFonts w:ascii="Georgia" w:hAnsi="Georgia"/>
          <w:sz w:val="20"/>
          <w:szCs w:val="22"/>
          <w:lang w:eastAsia="de-DE"/>
        </w:rPr>
        <w:t xml:space="preserve"> members </w:t>
      </w:r>
      <w:r w:rsidR="00640443">
        <w:rPr>
          <w:rFonts w:ascii="Georgia" w:hAnsi="Georgia"/>
          <w:sz w:val="20"/>
          <w:szCs w:val="22"/>
          <w:lang w:eastAsia="de-DE"/>
        </w:rPr>
        <w:t xml:space="preserve">by </w:t>
      </w:r>
      <w:r w:rsidR="00FA4FA6">
        <w:rPr>
          <w:rFonts w:ascii="Georgia" w:hAnsi="Georgia"/>
          <w:sz w:val="20"/>
          <w:szCs w:val="22"/>
          <w:lang w:eastAsia="de-DE"/>
        </w:rPr>
        <w:t>TG-MA</w:t>
      </w:r>
      <w:r>
        <w:rPr>
          <w:rFonts w:ascii="Georgia" w:hAnsi="Georgia"/>
          <w:sz w:val="20"/>
          <w:szCs w:val="22"/>
          <w:lang w:eastAsia="de-DE"/>
        </w:rPr>
        <w:t xml:space="preserve">, the panel </w:t>
      </w:r>
      <w:r w:rsidR="00640443">
        <w:rPr>
          <w:rFonts w:ascii="Georgia" w:hAnsi="Georgia"/>
          <w:sz w:val="20"/>
          <w:szCs w:val="22"/>
          <w:lang w:eastAsia="de-DE"/>
        </w:rPr>
        <w:t xml:space="preserve">has </w:t>
      </w:r>
      <w:r>
        <w:rPr>
          <w:rFonts w:ascii="Georgia" w:hAnsi="Georgia"/>
          <w:sz w:val="20"/>
          <w:szCs w:val="22"/>
          <w:lang w:eastAsia="de-DE"/>
        </w:rPr>
        <w:t>be</w:t>
      </w:r>
      <w:r w:rsidR="00640443">
        <w:rPr>
          <w:rFonts w:ascii="Georgia" w:hAnsi="Georgia"/>
          <w:sz w:val="20"/>
          <w:szCs w:val="22"/>
          <w:lang w:eastAsia="de-DE"/>
        </w:rPr>
        <w:t>en</w:t>
      </w:r>
      <w:r>
        <w:rPr>
          <w:rFonts w:ascii="Georgia" w:hAnsi="Georgia"/>
          <w:sz w:val="20"/>
          <w:szCs w:val="22"/>
          <w:lang w:eastAsia="de-DE"/>
        </w:rPr>
        <w:t xml:space="preserve"> </w:t>
      </w:r>
      <w:r w:rsidR="00A263E3">
        <w:rPr>
          <w:rFonts w:ascii="Georgia" w:hAnsi="Georgia"/>
          <w:sz w:val="20"/>
          <w:szCs w:val="22"/>
          <w:lang w:eastAsia="de-DE"/>
        </w:rPr>
        <w:t xml:space="preserve">empowered </w:t>
      </w:r>
      <w:r>
        <w:rPr>
          <w:rFonts w:ascii="Georgia" w:hAnsi="Georgia"/>
          <w:sz w:val="20"/>
          <w:szCs w:val="22"/>
          <w:lang w:eastAsia="de-DE"/>
        </w:rPr>
        <w:t xml:space="preserve">to </w:t>
      </w:r>
      <w:r w:rsidR="00FA4FA6">
        <w:rPr>
          <w:rFonts w:ascii="Georgia" w:hAnsi="Georgia"/>
          <w:sz w:val="20"/>
          <w:szCs w:val="22"/>
          <w:lang w:eastAsia="de-DE"/>
        </w:rPr>
        <w:t>oversee</w:t>
      </w:r>
      <w:r>
        <w:rPr>
          <w:rFonts w:ascii="Georgia" w:hAnsi="Georgia"/>
          <w:sz w:val="20"/>
          <w:szCs w:val="22"/>
          <w:lang w:eastAsia="de-DE"/>
        </w:rPr>
        <w:t xml:space="preserve"> and </w:t>
      </w:r>
      <w:r w:rsidR="00FA4FA6">
        <w:rPr>
          <w:rFonts w:ascii="Georgia" w:hAnsi="Georgia"/>
          <w:sz w:val="20"/>
          <w:szCs w:val="22"/>
          <w:lang w:eastAsia="de-DE"/>
        </w:rPr>
        <w:t>conduct</w:t>
      </w:r>
      <w:r>
        <w:rPr>
          <w:rFonts w:ascii="Georgia" w:hAnsi="Georgia"/>
          <w:sz w:val="20"/>
          <w:szCs w:val="22"/>
          <w:lang w:eastAsia="de-DE"/>
        </w:rPr>
        <w:t xml:space="preserve"> the review process together with CWSS</w:t>
      </w:r>
      <w:r w:rsidR="00A263E3">
        <w:rPr>
          <w:rFonts w:ascii="Georgia" w:hAnsi="Georgia"/>
          <w:sz w:val="20"/>
          <w:szCs w:val="22"/>
          <w:lang w:eastAsia="de-DE"/>
        </w:rPr>
        <w:t xml:space="preserve"> and </w:t>
      </w:r>
      <w:r w:rsidR="005A09DB">
        <w:rPr>
          <w:rFonts w:ascii="Georgia" w:hAnsi="Georgia"/>
          <w:sz w:val="20"/>
          <w:szCs w:val="22"/>
          <w:lang w:eastAsia="de-DE"/>
        </w:rPr>
        <w:t xml:space="preserve">in cooperation with </w:t>
      </w:r>
      <w:r w:rsidR="00A263E3">
        <w:rPr>
          <w:rFonts w:ascii="Georgia" w:hAnsi="Georgia"/>
          <w:sz w:val="20"/>
          <w:szCs w:val="22"/>
          <w:lang w:eastAsia="de-DE"/>
        </w:rPr>
        <w:t>TG-MA</w:t>
      </w:r>
      <w:r>
        <w:rPr>
          <w:rFonts w:ascii="Georgia" w:hAnsi="Georgia"/>
          <w:sz w:val="20"/>
          <w:szCs w:val="22"/>
          <w:lang w:eastAsia="de-DE"/>
        </w:rPr>
        <w:t xml:space="preserve">. </w:t>
      </w:r>
      <w:r w:rsidR="00640443">
        <w:rPr>
          <w:rFonts w:ascii="Georgia" w:hAnsi="Georgia"/>
          <w:sz w:val="20"/>
          <w:szCs w:val="22"/>
          <w:lang w:eastAsia="de-DE"/>
        </w:rPr>
        <w:t xml:space="preserve">Focus of this procedure is to safeguard the integrity and credibility of the scientific drafting and review process. </w:t>
      </w:r>
      <w:r>
        <w:rPr>
          <w:rFonts w:ascii="Georgia" w:hAnsi="Georgia"/>
          <w:sz w:val="20"/>
          <w:szCs w:val="22"/>
          <w:lang w:eastAsia="de-DE"/>
        </w:rPr>
        <w:t xml:space="preserve">It is foreseen that </w:t>
      </w:r>
      <w:r w:rsidRPr="00A263E3">
        <w:rPr>
          <w:rFonts w:ascii="Georgia" w:hAnsi="Georgia"/>
          <w:b/>
          <w:bCs/>
          <w:sz w:val="20"/>
          <w:szCs w:val="22"/>
          <w:lang w:eastAsia="de-DE"/>
        </w:rPr>
        <w:t>TG-M</w:t>
      </w:r>
      <w:r>
        <w:rPr>
          <w:rFonts w:ascii="Georgia" w:hAnsi="Georgia"/>
          <w:sz w:val="20"/>
          <w:szCs w:val="22"/>
          <w:lang w:eastAsia="de-DE"/>
        </w:rPr>
        <w:t xml:space="preserve"> will be invited to propose potential review</w:t>
      </w:r>
      <w:r w:rsidR="00640443">
        <w:rPr>
          <w:rFonts w:ascii="Georgia" w:hAnsi="Georgia"/>
          <w:sz w:val="20"/>
          <w:szCs w:val="22"/>
          <w:lang w:eastAsia="de-DE"/>
        </w:rPr>
        <w:t>er</w:t>
      </w:r>
      <w:r>
        <w:rPr>
          <w:rFonts w:ascii="Georgia" w:hAnsi="Georgia"/>
          <w:sz w:val="20"/>
          <w:szCs w:val="22"/>
          <w:lang w:eastAsia="de-DE"/>
        </w:rPr>
        <w:t xml:space="preserve">s for the Thematic Reports on </w:t>
      </w:r>
      <w:r w:rsidR="00640443">
        <w:rPr>
          <w:rFonts w:ascii="Georgia" w:hAnsi="Georgia"/>
          <w:sz w:val="20"/>
          <w:szCs w:val="22"/>
          <w:lang w:eastAsia="de-DE"/>
        </w:rPr>
        <w:t xml:space="preserve">management-related topics such as </w:t>
      </w:r>
      <w:r>
        <w:rPr>
          <w:rFonts w:ascii="Georgia" w:hAnsi="Georgia"/>
          <w:sz w:val="20"/>
          <w:szCs w:val="22"/>
          <w:lang w:eastAsia="de-DE"/>
        </w:rPr>
        <w:t xml:space="preserve">Energy, Fisheries and Shipping &amp; </w:t>
      </w:r>
      <w:proofErr w:type="spellStart"/>
      <w:r>
        <w:rPr>
          <w:rFonts w:ascii="Georgia" w:hAnsi="Georgia"/>
          <w:sz w:val="20"/>
          <w:szCs w:val="22"/>
          <w:lang w:eastAsia="de-DE"/>
        </w:rPr>
        <w:t>Harbours</w:t>
      </w:r>
      <w:proofErr w:type="spellEnd"/>
      <w:r>
        <w:rPr>
          <w:rFonts w:ascii="Georgia" w:hAnsi="Georgia"/>
          <w:sz w:val="20"/>
          <w:szCs w:val="22"/>
          <w:lang w:eastAsia="de-DE"/>
        </w:rPr>
        <w:t xml:space="preserve"> to support the process.</w:t>
      </w:r>
    </w:p>
    <w:p w14:paraId="3270B39C" w14:textId="77777777" w:rsidR="00344BF8" w:rsidRPr="001004C2" w:rsidRDefault="00344BF8" w:rsidP="00703EAD">
      <w:pPr>
        <w:pStyle w:val="Header"/>
        <w:spacing w:after="120" w:line="276" w:lineRule="auto"/>
        <w:rPr>
          <w:rFonts w:ascii="Georgia" w:hAnsi="Georgia"/>
          <w:sz w:val="20"/>
          <w:szCs w:val="22"/>
          <w:lang w:eastAsia="de-DE"/>
        </w:rPr>
      </w:pPr>
    </w:p>
    <w:p w14:paraId="1B566B9C" w14:textId="1D2D75B4" w:rsidR="00FA4FA6" w:rsidRPr="00A263E3" w:rsidRDefault="00344BF8" w:rsidP="00703EAD">
      <w:pPr>
        <w:pStyle w:val="Header"/>
        <w:spacing w:after="120" w:line="276" w:lineRule="auto"/>
        <w:rPr>
          <w:rFonts w:ascii="Georgia" w:hAnsi="Georgia"/>
          <w:sz w:val="20"/>
          <w:szCs w:val="22"/>
          <w:lang w:val="en-GB" w:eastAsia="de-DE"/>
        </w:rPr>
      </w:pPr>
      <w:r w:rsidRPr="00FA4FA6">
        <w:rPr>
          <w:rFonts w:ascii="Georgia" w:hAnsi="Georgia"/>
          <w:b/>
          <w:bCs/>
          <w:sz w:val="20"/>
          <w:szCs w:val="22"/>
          <w:lang w:val="en-GB" w:eastAsia="de-DE"/>
        </w:rPr>
        <w:t xml:space="preserve">Table 2. Provisional </w:t>
      </w:r>
      <w:r w:rsidR="00A263E3">
        <w:rPr>
          <w:rFonts w:ascii="Georgia" w:hAnsi="Georgia"/>
          <w:b/>
          <w:bCs/>
          <w:sz w:val="20"/>
          <w:szCs w:val="22"/>
          <w:lang w:val="en-GB" w:eastAsia="de-DE"/>
        </w:rPr>
        <w:t>list of members of the</w:t>
      </w:r>
      <w:r w:rsidRPr="00FA4FA6">
        <w:rPr>
          <w:rFonts w:ascii="Georgia" w:hAnsi="Georgia"/>
          <w:b/>
          <w:bCs/>
          <w:sz w:val="20"/>
          <w:szCs w:val="22"/>
          <w:lang w:val="en-GB" w:eastAsia="de-DE"/>
        </w:rPr>
        <w:t xml:space="preserve"> QSR Edito</w:t>
      </w:r>
      <w:r w:rsidR="00FA4FA6" w:rsidRPr="00FA4FA6">
        <w:rPr>
          <w:rFonts w:ascii="Georgia" w:hAnsi="Georgia"/>
          <w:b/>
          <w:bCs/>
          <w:sz w:val="20"/>
          <w:szCs w:val="22"/>
          <w:lang w:val="en-GB" w:eastAsia="de-DE"/>
        </w:rPr>
        <w:t xml:space="preserve">rial Board 21-22 </w:t>
      </w:r>
      <w:r w:rsidR="00FA4FA6" w:rsidRPr="00A263E3">
        <w:rPr>
          <w:rFonts w:ascii="Georgia" w:hAnsi="Georgia"/>
          <w:sz w:val="20"/>
          <w:szCs w:val="22"/>
          <w:lang w:val="en-GB" w:eastAsia="de-DE"/>
        </w:rPr>
        <w:t>(single changes might apply on account of availability of members)</w:t>
      </w:r>
    </w:p>
    <w:tbl>
      <w:tblPr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47"/>
        <w:gridCol w:w="3820"/>
      </w:tblGrid>
      <w:tr w:rsidR="00344BF8" w:rsidRPr="00344BF8" w14:paraId="0A92087E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41A" w14:textId="3401917B" w:rsidR="00344BF8" w:rsidRPr="00344BF8" w:rsidRDefault="00FA4FA6" w:rsidP="00344BF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FA4FA6">
              <w:rPr>
                <w:rFonts w:asciiTheme="minorHAnsi" w:hAnsiTheme="minorHAnsi" w:cstheme="minorHAnsi"/>
                <w:sz w:val="18"/>
                <w:szCs w:val="18"/>
                <w:lang w:val="en-GB" w:eastAsia="de-DE"/>
              </w:rPr>
              <w:t>Name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94EF" w14:textId="77777777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First </w:t>
            </w:r>
            <w:proofErr w:type="spellStart"/>
            <w:r w:rsidRPr="00344B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659" w14:textId="77777777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344B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 w:eastAsia="de-DE"/>
              </w:rPr>
              <w:t>Organization</w:t>
            </w:r>
            <w:proofErr w:type="spellEnd"/>
          </w:p>
        </w:tc>
      </w:tr>
      <w:tr w:rsidR="00344BF8" w:rsidRPr="00344BF8" w14:paraId="18D4BCE4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E6A" w14:textId="77777777" w:rsidR="00344BF8" w:rsidRPr="00344BF8" w:rsidRDefault="00344BF8" w:rsidP="00344BF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B87" w14:textId="77777777" w:rsidR="00344BF8" w:rsidRPr="00344BF8" w:rsidRDefault="00344BF8" w:rsidP="00344BF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3DC6" w14:textId="77777777" w:rsidR="00344BF8" w:rsidRPr="00344BF8" w:rsidRDefault="00344BF8" w:rsidP="00344BF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</w:pPr>
          </w:p>
        </w:tc>
      </w:tr>
      <w:tr w:rsidR="00344BF8" w:rsidRPr="00344BF8" w14:paraId="3E6556CC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9C8" w14:textId="11EB61D2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Bregnballe</w:t>
            </w:r>
            <w:r w:rsidR="00FA4F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, T.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A4EA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Thomas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74E2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Aarhus University</w:t>
            </w:r>
          </w:p>
        </w:tc>
      </w:tr>
      <w:tr w:rsidR="00344BF8" w:rsidRPr="00344BF8" w14:paraId="308BB56F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2DF" w14:textId="448087ED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Buschbaum</w:t>
            </w:r>
            <w:r w:rsidR="00FA4F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, C.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8C8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Christian 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D58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proofErr w:type="gramStart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Alfred Wegener Institute</w:t>
            </w:r>
            <w:proofErr w:type="gramEnd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, Sylt</w:t>
            </w:r>
          </w:p>
        </w:tc>
      </w:tr>
      <w:tr w:rsidR="00344BF8" w:rsidRPr="00344BF8" w14:paraId="1121FFCC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3FC8" w14:textId="3A898715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Deen</w:t>
            </w:r>
            <w:r w:rsidR="00FA4F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, K.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168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Klaas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F19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proofErr w:type="spellStart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Waddenacademie</w:t>
            </w:r>
            <w:proofErr w:type="spellEnd"/>
          </w:p>
        </w:tc>
      </w:tr>
      <w:tr w:rsidR="00344BF8" w:rsidRPr="00344BF8" w14:paraId="6CC3C3BE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E2D0" w14:textId="0C1E30B4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Freund</w:t>
            </w:r>
            <w:r w:rsidR="00FA4F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, H.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3E20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Holger 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F11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University </w:t>
            </w:r>
            <w:proofErr w:type="spellStart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of</w:t>
            </w:r>
            <w:proofErr w:type="spellEnd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 Oldenburg</w:t>
            </w:r>
          </w:p>
        </w:tc>
      </w:tr>
      <w:tr w:rsidR="00344BF8" w:rsidRPr="00344BF8" w14:paraId="25B0C584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014" w14:textId="6E3A8E1C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proofErr w:type="spellStart"/>
            <w:r w:rsidRPr="00344B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Gutow</w:t>
            </w:r>
            <w:proofErr w:type="spellEnd"/>
            <w:r w:rsidR="00FA4F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, L.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314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Lars 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881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proofErr w:type="gramStart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Alfred Wegener Institute</w:t>
            </w:r>
            <w:proofErr w:type="gramEnd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, Bremerhaven</w:t>
            </w:r>
          </w:p>
        </w:tc>
      </w:tr>
      <w:tr w:rsidR="00344BF8" w:rsidRPr="00344BF8" w14:paraId="23603DD8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442" w14:textId="1FB9960C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Jensen</w:t>
            </w:r>
            <w:r w:rsidR="00FA4F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, K.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081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Kai 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0E7A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Universität Hamburg</w:t>
            </w:r>
          </w:p>
        </w:tc>
      </w:tr>
      <w:tr w:rsidR="00344BF8" w:rsidRPr="00344BF8" w14:paraId="5805B591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5B17" w14:textId="170A8A5A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Jepsen</w:t>
            </w:r>
            <w:r w:rsidR="00FA4F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, N.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01C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Niels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1FB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DTU Aqua</w:t>
            </w:r>
          </w:p>
        </w:tc>
      </w:tr>
      <w:tr w:rsidR="00344BF8" w:rsidRPr="00344BF8" w14:paraId="5AF32871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DE7" w14:textId="481D9BC9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Teilmann</w:t>
            </w:r>
            <w:r w:rsidR="00FA4F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, J.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6C23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Jonas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796C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University </w:t>
            </w:r>
            <w:proofErr w:type="spellStart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of</w:t>
            </w:r>
            <w:proofErr w:type="spellEnd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 Aarhus</w:t>
            </w:r>
          </w:p>
        </w:tc>
      </w:tr>
      <w:tr w:rsidR="00344BF8" w:rsidRPr="00344BF8" w14:paraId="5D5F0560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6007" w14:textId="466B7612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van Wezel</w:t>
            </w:r>
            <w:r w:rsidR="00FA4F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  <w:t>, A.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261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Annemarie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E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University </w:t>
            </w:r>
            <w:proofErr w:type="spellStart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>of</w:t>
            </w:r>
            <w:proofErr w:type="spellEnd"/>
            <w:r w:rsidRPr="00344BF8"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  <w:t xml:space="preserve"> Amsterdam</w:t>
            </w:r>
          </w:p>
        </w:tc>
      </w:tr>
      <w:tr w:rsidR="00344BF8" w:rsidRPr="00344BF8" w14:paraId="53DF8C09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1330" w14:textId="77777777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CDB6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9E94" w14:textId="77777777" w:rsidR="00344BF8" w:rsidRPr="00344BF8" w:rsidRDefault="00344BF8" w:rsidP="00344BF8">
            <w:pPr>
              <w:rPr>
                <w:rFonts w:asciiTheme="minorHAnsi" w:hAnsiTheme="minorHAnsi" w:cstheme="minorHAnsi"/>
                <w:sz w:val="18"/>
                <w:szCs w:val="18"/>
                <w:lang w:val="de-DE" w:eastAsia="de-DE"/>
              </w:rPr>
            </w:pPr>
          </w:p>
        </w:tc>
      </w:tr>
      <w:tr w:rsidR="00344BF8" w:rsidRPr="00344BF8" w14:paraId="29F9FDBD" w14:textId="77777777" w:rsidTr="00FA4F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F98" w14:textId="23B80672" w:rsidR="00344BF8" w:rsidRPr="00344BF8" w:rsidRDefault="00344BF8" w:rsidP="00344BF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 w:eastAsia="de-DE"/>
              </w:rPr>
              <w:t>Klöpper</w:t>
            </w:r>
            <w:r w:rsidR="00FA4FA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de-DE" w:eastAsia="de-DE"/>
              </w:rPr>
              <w:t>, S.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DA64" w14:textId="77777777" w:rsidR="00344BF8" w:rsidRPr="00344BF8" w:rsidRDefault="00344BF8" w:rsidP="00344BF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  <w:t xml:space="preserve">Sascha 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5CE" w14:textId="77777777" w:rsidR="00344BF8" w:rsidRPr="00344BF8" w:rsidRDefault="00344BF8" w:rsidP="00344BF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</w:pPr>
            <w:r w:rsidRPr="00344BF8"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  <w:t xml:space="preserve">Common Wadden </w:t>
            </w:r>
            <w:proofErr w:type="spellStart"/>
            <w:r w:rsidRPr="00344BF8"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  <w:t>Sea</w:t>
            </w:r>
            <w:proofErr w:type="spellEnd"/>
            <w:r w:rsidRPr="00344BF8"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44BF8">
              <w:rPr>
                <w:rFonts w:asciiTheme="minorHAnsi" w:hAnsiTheme="minorHAnsi" w:cstheme="minorHAnsi"/>
                <w:color w:val="000000"/>
                <w:sz w:val="18"/>
                <w:szCs w:val="18"/>
                <w:lang w:val="de-DE" w:eastAsia="de-DE"/>
              </w:rPr>
              <w:t>Secretariat</w:t>
            </w:r>
            <w:proofErr w:type="spellEnd"/>
          </w:p>
        </w:tc>
      </w:tr>
    </w:tbl>
    <w:p w14:paraId="3EADFFF1" w14:textId="77777777" w:rsidR="00344BF8" w:rsidRDefault="00344BF8" w:rsidP="00703EAD">
      <w:pPr>
        <w:pStyle w:val="Header"/>
        <w:spacing w:after="120" w:line="276" w:lineRule="auto"/>
        <w:rPr>
          <w:rFonts w:ascii="Georgia" w:hAnsi="Georgia"/>
          <w:sz w:val="20"/>
          <w:szCs w:val="22"/>
          <w:lang w:val="en-GB" w:eastAsia="de-DE"/>
        </w:rPr>
      </w:pPr>
    </w:p>
    <w:p w14:paraId="6B8E1054" w14:textId="043244B6" w:rsidR="008561DC" w:rsidRPr="001A5AB5" w:rsidRDefault="008561DC" w:rsidP="00703EAD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155BA1" w14:textId="5F755824" w:rsidR="008561DC" w:rsidRPr="001A5AB5" w:rsidRDefault="008561DC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1A5AB5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1A5AB5">
        <w:rPr>
          <w:rFonts w:ascii="Georgia" w:hAnsi="Georgia"/>
          <w:b/>
          <w:bCs/>
          <w:sz w:val="22"/>
          <w:szCs w:val="22"/>
          <w:lang w:val="en-GB"/>
        </w:rPr>
        <w:tab/>
      </w:r>
      <w:r w:rsidR="00CD0E61" w:rsidRPr="000169F3">
        <w:rPr>
          <w:rFonts w:ascii="Georgia" w:hAnsi="Georgia"/>
          <w:sz w:val="22"/>
          <w:szCs w:val="22"/>
          <w:lang w:val="en-GB"/>
        </w:rPr>
        <w:t>The group</w:t>
      </w:r>
      <w:r w:rsidRPr="000169F3">
        <w:rPr>
          <w:rFonts w:ascii="Georgia" w:hAnsi="Georgia"/>
          <w:sz w:val="22"/>
          <w:szCs w:val="22"/>
          <w:lang w:val="en-GB"/>
        </w:rPr>
        <w:t xml:space="preserve"> is invited to</w:t>
      </w:r>
      <w:r w:rsidR="007A6FA2" w:rsidRPr="000169F3">
        <w:rPr>
          <w:rFonts w:ascii="Georgia" w:hAnsi="Georgia"/>
          <w:sz w:val="22"/>
          <w:szCs w:val="22"/>
          <w:lang w:val="en-GB"/>
        </w:rPr>
        <w:t xml:space="preserve"> </w:t>
      </w:r>
      <w:r w:rsidR="00B91C82" w:rsidRPr="000169F3">
        <w:rPr>
          <w:rFonts w:ascii="Georgia" w:hAnsi="Georgia"/>
          <w:sz w:val="22"/>
          <w:szCs w:val="22"/>
          <w:lang w:val="en-GB"/>
        </w:rPr>
        <w:t>note the information.</w:t>
      </w:r>
      <w:r w:rsidR="007A6FA2" w:rsidRPr="001A5AB5">
        <w:rPr>
          <w:rFonts w:ascii="Georgia" w:hAnsi="Georgia"/>
          <w:sz w:val="22"/>
          <w:szCs w:val="22"/>
          <w:lang w:val="en-GB"/>
        </w:rPr>
        <w:t xml:space="preserve"> </w:t>
      </w:r>
    </w:p>
    <w:sectPr w:rsidR="008561DC" w:rsidRPr="001A5AB5" w:rsidSect="0094354F"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AE68" w14:textId="77777777" w:rsidR="004000B9" w:rsidRDefault="004000B9" w:rsidP="00B965C7">
      <w:r>
        <w:separator/>
      </w:r>
    </w:p>
  </w:endnote>
  <w:endnote w:type="continuationSeparator" w:id="0">
    <w:p w14:paraId="0EFF701A" w14:textId="77777777" w:rsidR="004000B9" w:rsidRDefault="004000B9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3A0E" w14:textId="77777777" w:rsidR="004000B9" w:rsidRDefault="004000B9" w:rsidP="00B965C7">
      <w:r>
        <w:separator/>
      </w:r>
    </w:p>
  </w:footnote>
  <w:footnote w:type="continuationSeparator" w:id="0">
    <w:p w14:paraId="449AF380" w14:textId="77777777" w:rsidR="004000B9" w:rsidRDefault="004000B9" w:rsidP="00B9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D48"/>
    <w:multiLevelType w:val="hybridMultilevel"/>
    <w:tmpl w:val="F894DB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762B"/>
    <w:multiLevelType w:val="hybridMultilevel"/>
    <w:tmpl w:val="C3483D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302A"/>
    <w:multiLevelType w:val="hybridMultilevel"/>
    <w:tmpl w:val="AF281E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4" w15:restartNumberingAfterBreak="0">
    <w:nsid w:val="61BD4E2F"/>
    <w:multiLevelType w:val="hybridMultilevel"/>
    <w:tmpl w:val="6DACB8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1045"/>
    <w:multiLevelType w:val="hybridMultilevel"/>
    <w:tmpl w:val="92D8D21E"/>
    <w:lvl w:ilvl="0" w:tplc="A8D6B502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73CC7"/>
    <w:multiLevelType w:val="hybridMultilevel"/>
    <w:tmpl w:val="E3586ACE"/>
    <w:lvl w:ilvl="0" w:tplc="A8D6B502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17"/>
    <w:rsid w:val="00004382"/>
    <w:rsid w:val="00005110"/>
    <w:rsid w:val="00010D2D"/>
    <w:rsid w:val="000169F3"/>
    <w:rsid w:val="000208AE"/>
    <w:rsid w:val="000478D3"/>
    <w:rsid w:val="00063E3C"/>
    <w:rsid w:val="00073712"/>
    <w:rsid w:val="000773D4"/>
    <w:rsid w:val="000838E0"/>
    <w:rsid w:val="00093165"/>
    <w:rsid w:val="000A1308"/>
    <w:rsid w:val="000A6D0F"/>
    <w:rsid w:val="000D6000"/>
    <w:rsid w:val="001004C2"/>
    <w:rsid w:val="00133CDB"/>
    <w:rsid w:val="00147DE8"/>
    <w:rsid w:val="0016174D"/>
    <w:rsid w:val="00167032"/>
    <w:rsid w:val="001A5AB5"/>
    <w:rsid w:val="001B206C"/>
    <w:rsid w:val="001B6A8B"/>
    <w:rsid w:val="001D044E"/>
    <w:rsid w:val="001F3F04"/>
    <w:rsid w:val="001F4228"/>
    <w:rsid w:val="001F4FB2"/>
    <w:rsid w:val="00202C41"/>
    <w:rsid w:val="00215254"/>
    <w:rsid w:val="00225717"/>
    <w:rsid w:val="00240AFF"/>
    <w:rsid w:val="0024597E"/>
    <w:rsid w:val="002570E2"/>
    <w:rsid w:val="002814A3"/>
    <w:rsid w:val="002A2851"/>
    <w:rsid w:val="002B5AB3"/>
    <w:rsid w:val="002C71BE"/>
    <w:rsid w:val="002D5AE4"/>
    <w:rsid w:val="002F0F57"/>
    <w:rsid w:val="00324417"/>
    <w:rsid w:val="00344BF8"/>
    <w:rsid w:val="003C4E64"/>
    <w:rsid w:val="003E2F99"/>
    <w:rsid w:val="003F4A4D"/>
    <w:rsid w:val="004000B9"/>
    <w:rsid w:val="00400507"/>
    <w:rsid w:val="00411E3A"/>
    <w:rsid w:val="004205EB"/>
    <w:rsid w:val="00467953"/>
    <w:rsid w:val="0048049E"/>
    <w:rsid w:val="00486C04"/>
    <w:rsid w:val="0048782E"/>
    <w:rsid w:val="004D626F"/>
    <w:rsid w:val="004F686F"/>
    <w:rsid w:val="0050563B"/>
    <w:rsid w:val="0051787B"/>
    <w:rsid w:val="00527DA2"/>
    <w:rsid w:val="00551F96"/>
    <w:rsid w:val="00565654"/>
    <w:rsid w:val="00567BCF"/>
    <w:rsid w:val="00572596"/>
    <w:rsid w:val="00577229"/>
    <w:rsid w:val="005A09DB"/>
    <w:rsid w:val="005F0948"/>
    <w:rsid w:val="00607CFF"/>
    <w:rsid w:val="00620911"/>
    <w:rsid w:val="006318CA"/>
    <w:rsid w:val="00640443"/>
    <w:rsid w:val="00647497"/>
    <w:rsid w:val="00667D54"/>
    <w:rsid w:val="00696CA7"/>
    <w:rsid w:val="006B5CC2"/>
    <w:rsid w:val="006E10B1"/>
    <w:rsid w:val="006E79F6"/>
    <w:rsid w:val="00703EAD"/>
    <w:rsid w:val="00721513"/>
    <w:rsid w:val="007810A3"/>
    <w:rsid w:val="00784B26"/>
    <w:rsid w:val="00785365"/>
    <w:rsid w:val="007861D9"/>
    <w:rsid w:val="00795532"/>
    <w:rsid w:val="007A258C"/>
    <w:rsid w:val="007A6FA2"/>
    <w:rsid w:val="007E3338"/>
    <w:rsid w:val="007F0012"/>
    <w:rsid w:val="00805CFC"/>
    <w:rsid w:val="00842A2F"/>
    <w:rsid w:val="00844401"/>
    <w:rsid w:val="008561DC"/>
    <w:rsid w:val="00860FF5"/>
    <w:rsid w:val="008A0A5A"/>
    <w:rsid w:val="008C66A3"/>
    <w:rsid w:val="008E0528"/>
    <w:rsid w:val="009148DD"/>
    <w:rsid w:val="00923B78"/>
    <w:rsid w:val="009270FB"/>
    <w:rsid w:val="0094354F"/>
    <w:rsid w:val="00980B05"/>
    <w:rsid w:val="00987517"/>
    <w:rsid w:val="00991952"/>
    <w:rsid w:val="00991DE6"/>
    <w:rsid w:val="009C46AF"/>
    <w:rsid w:val="009C68F7"/>
    <w:rsid w:val="009D3E8B"/>
    <w:rsid w:val="009E3DA6"/>
    <w:rsid w:val="00A17EAC"/>
    <w:rsid w:val="00A21EC6"/>
    <w:rsid w:val="00A263E3"/>
    <w:rsid w:val="00A42E94"/>
    <w:rsid w:val="00A459D2"/>
    <w:rsid w:val="00A510FB"/>
    <w:rsid w:val="00A57419"/>
    <w:rsid w:val="00A66938"/>
    <w:rsid w:val="00A72074"/>
    <w:rsid w:val="00A9506D"/>
    <w:rsid w:val="00AB1A53"/>
    <w:rsid w:val="00AE5447"/>
    <w:rsid w:val="00AF009A"/>
    <w:rsid w:val="00AF752E"/>
    <w:rsid w:val="00B266A4"/>
    <w:rsid w:val="00B73FDE"/>
    <w:rsid w:val="00B756DE"/>
    <w:rsid w:val="00B91C82"/>
    <w:rsid w:val="00B965C7"/>
    <w:rsid w:val="00BB66E1"/>
    <w:rsid w:val="00BF6579"/>
    <w:rsid w:val="00C02F3A"/>
    <w:rsid w:val="00C10F97"/>
    <w:rsid w:val="00C22BCF"/>
    <w:rsid w:val="00C639BC"/>
    <w:rsid w:val="00C71071"/>
    <w:rsid w:val="00C75C4E"/>
    <w:rsid w:val="00C7703C"/>
    <w:rsid w:val="00C81DD5"/>
    <w:rsid w:val="00C8426B"/>
    <w:rsid w:val="00C85B9D"/>
    <w:rsid w:val="00CA4088"/>
    <w:rsid w:val="00CD0E61"/>
    <w:rsid w:val="00CE429A"/>
    <w:rsid w:val="00CF4F5D"/>
    <w:rsid w:val="00D15F5E"/>
    <w:rsid w:val="00D1728D"/>
    <w:rsid w:val="00D46FA3"/>
    <w:rsid w:val="00DA1753"/>
    <w:rsid w:val="00DB7395"/>
    <w:rsid w:val="00DC044B"/>
    <w:rsid w:val="00DC630A"/>
    <w:rsid w:val="00DC674A"/>
    <w:rsid w:val="00DC6CAE"/>
    <w:rsid w:val="00DD75D4"/>
    <w:rsid w:val="00DE308A"/>
    <w:rsid w:val="00DE3789"/>
    <w:rsid w:val="00DE3D4D"/>
    <w:rsid w:val="00E12399"/>
    <w:rsid w:val="00E1799E"/>
    <w:rsid w:val="00E27E32"/>
    <w:rsid w:val="00E33800"/>
    <w:rsid w:val="00E47918"/>
    <w:rsid w:val="00E915A1"/>
    <w:rsid w:val="00F025DD"/>
    <w:rsid w:val="00F17C71"/>
    <w:rsid w:val="00F411B2"/>
    <w:rsid w:val="00F50816"/>
    <w:rsid w:val="00F7100A"/>
    <w:rsid w:val="00F773F4"/>
    <w:rsid w:val="00F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8107D"/>
  <w15:docId w15:val="{A4D620B3-CDD7-432F-809B-48EF2C1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4D"/>
    <w:pPr>
      <w:spacing w:after="120" w:line="276" w:lineRule="auto"/>
      <w:outlineLvl w:val="0"/>
    </w:pPr>
    <w:rPr>
      <w:rFonts w:ascii="Arial" w:hAnsi="Arial" w:cs="Arial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D4D"/>
    <w:pPr>
      <w:spacing w:after="120"/>
      <w:outlineLvl w:val="1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C46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6A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5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5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8751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E3D4D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3D4D"/>
    <w:rPr>
      <w:rFonts w:ascii="Arial" w:eastAsia="Times New Roman" w:hAnsi="Arial" w:cs="Arial"/>
      <w:sz w:val="28"/>
      <w:szCs w:val="28"/>
    </w:rPr>
  </w:style>
  <w:style w:type="paragraph" w:customStyle="1" w:styleId="6captions">
    <w:name w:val="6 captions"/>
    <w:basedOn w:val="Normal"/>
    <w:qFormat/>
    <w:rsid w:val="001F4FB2"/>
    <w:pPr>
      <w:spacing w:after="170" w:line="340" w:lineRule="exact"/>
      <w:ind w:left="567" w:right="567"/>
    </w:pPr>
    <w:rPr>
      <w:rFonts w:ascii="Georgia" w:eastAsiaTheme="minorEastAsia" w:hAnsi="Georgia" w:cs="Arial"/>
      <w:i/>
      <w:color w:val="279DCE"/>
      <w:sz w:val="22"/>
      <w:szCs w:val="22"/>
    </w:rPr>
  </w:style>
  <w:style w:type="paragraph" w:customStyle="1" w:styleId="Header2">
    <w:name w:val="Header 2"/>
    <w:basedOn w:val="ListParagraph"/>
    <w:qFormat/>
    <w:rsid w:val="004D626F"/>
    <w:pPr>
      <w:numPr>
        <w:numId w:val="2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Header3b">
    <w:name w:val="Header 3b"/>
    <w:basedOn w:val="ListParagraph"/>
    <w:qFormat/>
    <w:rsid w:val="004D626F"/>
    <w:pPr>
      <w:numPr>
        <w:ilvl w:val="1"/>
        <w:numId w:val="2"/>
      </w:numPr>
      <w:spacing w:after="120" w:line="276" w:lineRule="auto"/>
    </w:pPr>
    <w:rPr>
      <w:rFonts w:ascii="Georgia" w:hAnsi="Georgia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1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0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0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4791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E4791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91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E47918"/>
    <w:rPr>
      <w:vertAlign w:val="superscript"/>
    </w:rPr>
  </w:style>
  <w:style w:type="character" w:customStyle="1" w:styleId="tlid-translation">
    <w:name w:val="tlid-translation"/>
    <w:basedOn w:val="DefaultParagraphFont"/>
    <w:rsid w:val="00005110"/>
  </w:style>
  <w:style w:type="table" w:customStyle="1" w:styleId="TableGrid1">
    <w:name w:val="Table Grid1"/>
    <w:basedOn w:val="TableNormal"/>
    <w:uiPriority w:val="39"/>
    <w:rsid w:val="00F7100A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EA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1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6502-D300-42B0-8D75-A018DA76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CWSS</cp:lastModifiedBy>
  <cp:revision>2</cp:revision>
  <dcterms:created xsi:type="dcterms:W3CDTF">2021-05-21T12:53:00Z</dcterms:created>
  <dcterms:modified xsi:type="dcterms:W3CDTF">2021-05-21T12:53:00Z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