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4CB3E14"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20-1</w:t>
      </w:r>
      <w:r w:rsidR="008561DC" w:rsidRPr="001A5AB5">
        <w:rPr>
          <w:rFonts w:ascii="Arial" w:eastAsiaTheme="minorHAnsi" w:hAnsi="Arial" w:cs="Arial"/>
          <w:b/>
          <w:szCs w:val="36"/>
          <w:lang w:val="en-GB"/>
        </w:rPr>
        <w:t xml:space="preserve">) </w:t>
      </w:r>
    </w:p>
    <w:p w14:paraId="27272E87" w14:textId="5FDD2508"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17 - 18</w:t>
      </w:r>
      <w:r w:rsidR="00923B78"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April 2020</w:t>
      </w:r>
    </w:p>
    <w:p w14:paraId="2530BFB8" w14:textId="315FD7E9"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Bremen</w:t>
      </w:r>
      <w:r w:rsidR="008561DC"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Germany</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F0FA5D6" w:rsidR="008561DC" w:rsidRPr="006B18FF" w:rsidRDefault="008561DC" w:rsidP="008561DC">
      <w:pPr>
        <w:tabs>
          <w:tab w:val="left" w:pos="2160"/>
        </w:tabs>
        <w:spacing w:after="200" w:line="276" w:lineRule="auto"/>
        <w:rPr>
          <w:rFonts w:ascii="Georgia" w:hAnsi="Georgia"/>
          <w:b/>
          <w:sz w:val="20"/>
          <w:szCs w:val="22"/>
          <w:lang w:val="en-GB"/>
        </w:rPr>
      </w:pPr>
      <w:r w:rsidRPr="006B18FF">
        <w:rPr>
          <w:rFonts w:ascii="Georgia" w:hAnsi="Georgia"/>
          <w:b/>
          <w:sz w:val="20"/>
          <w:szCs w:val="22"/>
          <w:lang w:val="en-GB"/>
        </w:rPr>
        <w:t>Agenda Item:</w:t>
      </w:r>
      <w:r w:rsidRPr="006B18FF">
        <w:rPr>
          <w:rFonts w:ascii="Georgia" w:hAnsi="Georgia"/>
          <w:b/>
          <w:sz w:val="20"/>
          <w:szCs w:val="22"/>
          <w:lang w:val="en-GB"/>
        </w:rPr>
        <w:tab/>
      </w:r>
      <w:r w:rsidR="00C70CF9">
        <w:rPr>
          <w:rFonts w:ascii="Georgia" w:hAnsi="Georgia"/>
          <w:b/>
          <w:sz w:val="20"/>
          <w:szCs w:val="22"/>
          <w:lang w:val="en-GB"/>
        </w:rPr>
        <w:t>8</w:t>
      </w:r>
      <w:r w:rsidR="008C20DA" w:rsidRPr="006B18FF">
        <w:rPr>
          <w:rFonts w:ascii="Georgia" w:hAnsi="Georgia"/>
          <w:b/>
          <w:sz w:val="20"/>
          <w:szCs w:val="22"/>
          <w:lang w:val="en-GB"/>
        </w:rPr>
        <w:t xml:space="preserve">. </w:t>
      </w:r>
      <w:r w:rsidR="00C70CF9">
        <w:rPr>
          <w:rFonts w:ascii="Georgia" w:hAnsi="Georgia"/>
          <w:b/>
          <w:sz w:val="20"/>
          <w:szCs w:val="22"/>
          <w:lang w:val="en-GB"/>
        </w:rPr>
        <w:t>Energy</w:t>
      </w:r>
    </w:p>
    <w:p w14:paraId="449CCF2C" w14:textId="3ABD2E2A" w:rsidR="008561DC" w:rsidRPr="006B18FF" w:rsidRDefault="008561DC" w:rsidP="00823C77">
      <w:pPr>
        <w:tabs>
          <w:tab w:val="left" w:pos="2160"/>
        </w:tabs>
        <w:spacing w:after="200" w:line="276" w:lineRule="auto"/>
        <w:ind w:left="2160" w:hanging="2160"/>
        <w:rPr>
          <w:rFonts w:ascii="Georgia" w:hAnsi="Georgia"/>
          <w:sz w:val="20"/>
          <w:szCs w:val="22"/>
          <w:lang w:val="en-GB"/>
        </w:rPr>
      </w:pPr>
      <w:r w:rsidRPr="006B18FF">
        <w:rPr>
          <w:rFonts w:ascii="Georgia" w:hAnsi="Georgia"/>
          <w:b/>
          <w:sz w:val="20"/>
          <w:szCs w:val="22"/>
          <w:lang w:val="en-GB"/>
        </w:rPr>
        <w:t>Subject:</w:t>
      </w:r>
      <w:r w:rsidRPr="006B18FF">
        <w:rPr>
          <w:rFonts w:ascii="Georgia" w:hAnsi="Georgia"/>
          <w:b/>
          <w:sz w:val="20"/>
          <w:szCs w:val="22"/>
          <w:lang w:val="en-GB"/>
        </w:rPr>
        <w:tab/>
      </w:r>
      <w:r w:rsidR="00823C77" w:rsidRPr="006B18FF">
        <w:rPr>
          <w:rFonts w:ascii="Georgia" w:hAnsi="Georgia"/>
          <w:b/>
          <w:sz w:val="20"/>
          <w:szCs w:val="22"/>
          <w:lang w:val="en-GB"/>
        </w:rPr>
        <w:t>Renewable energy, Energy from Oil and Gas, Coastal flood defense and protection</w:t>
      </w:r>
    </w:p>
    <w:p w14:paraId="4EC4A14D" w14:textId="1313DE8D" w:rsidR="008561DC" w:rsidRPr="001A5AB5" w:rsidRDefault="008561DC" w:rsidP="008561DC">
      <w:pPr>
        <w:tabs>
          <w:tab w:val="left" w:pos="2160"/>
        </w:tabs>
        <w:spacing w:after="200" w:line="276" w:lineRule="auto"/>
        <w:rPr>
          <w:rFonts w:ascii="Georgia" w:hAnsi="Georgia"/>
          <w:b/>
          <w:sz w:val="20"/>
          <w:szCs w:val="22"/>
          <w:lang w:val="en-GB"/>
        </w:rPr>
      </w:pPr>
      <w:r w:rsidRPr="006B18FF">
        <w:rPr>
          <w:rFonts w:ascii="Georgia" w:hAnsi="Georgia"/>
          <w:b/>
          <w:sz w:val="20"/>
          <w:szCs w:val="22"/>
          <w:lang w:val="en-GB"/>
        </w:rPr>
        <w:t>Document No.:</w:t>
      </w:r>
      <w:r w:rsidRPr="006B18FF">
        <w:rPr>
          <w:rFonts w:ascii="Georgia" w:hAnsi="Georgia"/>
          <w:b/>
          <w:sz w:val="20"/>
          <w:szCs w:val="22"/>
          <w:lang w:val="en-GB"/>
        </w:rPr>
        <w:tab/>
      </w:r>
      <w:r w:rsidR="00F411B2" w:rsidRPr="006B18FF">
        <w:rPr>
          <w:rFonts w:ascii="Georgia" w:hAnsi="Georgia"/>
          <w:sz w:val="20"/>
          <w:szCs w:val="22"/>
          <w:lang w:val="en-GB"/>
        </w:rPr>
        <w:t>TG</w:t>
      </w:r>
      <w:r w:rsidR="007861D9" w:rsidRPr="006B18FF">
        <w:rPr>
          <w:rFonts w:ascii="Georgia" w:hAnsi="Georgia"/>
          <w:sz w:val="20"/>
          <w:szCs w:val="22"/>
          <w:lang w:val="en-GB"/>
        </w:rPr>
        <w:t>-</w:t>
      </w:r>
      <w:r w:rsidR="00F411B2" w:rsidRPr="006B18FF">
        <w:rPr>
          <w:rFonts w:ascii="Georgia" w:hAnsi="Georgia"/>
          <w:sz w:val="20"/>
          <w:szCs w:val="22"/>
          <w:lang w:val="en-GB"/>
        </w:rPr>
        <w:t>M</w:t>
      </w:r>
      <w:r w:rsidR="007861D9" w:rsidRPr="006B18FF">
        <w:rPr>
          <w:rFonts w:ascii="Georgia" w:hAnsi="Georgia"/>
          <w:sz w:val="20"/>
          <w:szCs w:val="22"/>
          <w:lang w:val="en-GB"/>
        </w:rPr>
        <w:t xml:space="preserve"> </w:t>
      </w:r>
      <w:r w:rsidR="00F411B2" w:rsidRPr="006B18FF">
        <w:rPr>
          <w:rFonts w:ascii="Georgia" w:hAnsi="Georgia"/>
          <w:sz w:val="20"/>
          <w:szCs w:val="22"/>
          <w:lang w:val="en-GB"/>
        </w:rPr>
        <w:t>20</w:t>
      </w:r>
      <w:r w:rsidR="007861D9" w:rsidRPr="006B18FF">
        <w:rPr>
          <w:rFonts w:ascii="Georgia" w:hAnsi="Georgia"/>
          <w:sz w:val="20"/>
          <w:szCs w:val="22"/>
          <w:lang w:val="en-GB"/>
        </w:rPr>
        <w:t>-</w:t>
      </w:r>
      <w:r w:rsidR="00F411B2" w:rsidRPr="006B18FF">
        <w:rPr>
          <w:rFonts w:ascii="Georgia" w:hAnsi="Georgia"/>
          <w:sz w:val="20"/>
          <w:szCs w:val="22"/>
          <w:lang w:val="en-GB"/>
        </w:rPr>
        <w:t>1</w:t>
      </w:r>
      <w:r w:rsidRPr="006B18FF">
        <w:rPr>
          <w:rFonts w:ascii="Georgia" w:hAnsi="Georgia"/>
          <w:sz w:val="20"/>
          <w:szCs w:val="22"/>
          <w:lang w:val="en-GB"/>
        </w:rPr>
        <w:t>/</w:t>
      </w:r>
      <w:r w:rsidR="00094518" w:rsidRPr="006B18FF">
        <w:rPr>
          <w:rFonts w:ascii="Georgia" w:hAnsi="Georgia"/>
          <w:sz w:val="20"/>
          <w:szCs w:val="22"/>
          <w:lang w:val="en-GB"/>
        </w:rPr>
        <w:t>8</w:t>
      </w:r>
    </w:p>
    <w:p w14:paraId="686CEA66" w14:textId="74F99A9A"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395AD3">
        <w:rPr>
          <w:rFonts w:ascii="Georgia" w:hAnsi="Georgia"/>
          <w:sz w:val="20"/>
          <w:szCs w:val="22"/>
          <w:lang w:val="en-GB"/>
        </w:rPr>
        <w:t>5</w:t>
      </w:r>
      <w:r w:rsidR="00A032FB">
        <w:rPr>
          <w:rFonts w:ascii="Georgia" w:hAnsi="Georgia"/>
          <w:sz w:val="20"/>
          <w:szCs w:val="22"/>
          <w:lang w:val="en-GB"/>
        </w:rPr>
        <w:t xml:space="preserve"> March</w:t>
      </w:r>
      <w:r w:rsidR="001B6A8B" w:rsidRPr="001A5AB5">
        <w:rPr>
          <w:rFonts w:ascii="Georgia" w:hAnsi="Georgia"/>
          <w:sz w:val="20"/>
          <w:szCs w:val="22"/>
          <w:lang w:val="en-GB"/>
        </w:rPr>
        <w:t xml:space="preserve"> 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32D06C86" w14:textId="77777777" w:rsidR="00CC4A26" w:rsidRDefault="001B6A8B" w:rsidP="00CC4A26">
      <w:pPr>
        <w:pStyle w:val="Kopfzeile"/>
        <w:tabs>
          <w:tab w:val="clear" w:pos="4703"/>
          <w:tab w:val="clear" w:pos="9406"/>
        </w:tabs>
        <w:spacing w:after="200" w:line="276" w:lineRule="auto"/>
        <w:rPr>
          <w:rFonts w:ascii="Georgia" w:hAnsi="Georgia"/>
          <w:sz w:val="20"/>
          <w:szCs w:val="20"/>
        </w:rPr>
      </w:pPr>
      <w:r w:rsidRPr="00CC4A26">
        <w:rPr>
          <w:rFonts w:ascii="Georgia" w:hAnsi="Georgia"/>
          <w:sz w:val="20"/>
          <w:szCs w:val="20"/>
        </w:rPr>
        <w:t xml:space="preserve">At the Wadden Sea Board (WSB) meeting 30 held on 21 November 2019 in Wilhelmshaven, Germany, the Board </w:t>
      </w:r>
      <w:r w:rsidR="00585567" w:rsidRPr="00CC4A26">
        <w:rPr>
          <w:rFonts w:ascii="Georgia" w:hAnsi="Georgia"/>
          <w:sz w:val="20"/>
          <w:szCs w:val="20"/>
        </w:rPr>
        <w:t>endorsed the four key topics for the SIMP</w:t>
      </w:r>
      <w:r w:rsidR="00097A80" w:rsidRPr="00CC4A26">
        <w:rPr>
          <w:rFonts w:ascii="Georgia" w:hAnsi="Georgia"/>
          <w:sz w:val="20"/>
          <w:szCs w:val="20"/>
        </w:rPr>
        <w:t>: fisheries, tourism, shipping and impacts from outside (</w:t>
      </w:r>
      <w:r w:rsidR="00F86FAD" w:rsidRPr="00CC4A26">
        <w:rPr>
          <w:rFonts w:ascii="Georgia" w:hAnsi="Georgia"/>
          <w:sz w:val="20"/>
          <w:szCs w:val="20"/>
        </w:rPr>
        <w:t xml:space="preserve">specifically </w:t>
      </w:r>
      <w:r w:rsidR="00097A80" w:rsidRPr="00CC4A26">
        <w:rPr>
          <w:rFonts w:ascii="Georgia" w:hAnsi="Georgia"/>
          <w:sz w:val="20"/>
          <w:szCs w:val="20"/>
        </w:rPr>
        <w:t>renewable energy, energy from oil and gas and coastal flood defence and protection)</w:t>
      </w:r>
      <w:r w:rsidR="00585567" w:rsidRPr="00CC4A26">
        <w:rPr>
          <w:rFonts w:ascii="Georgia" w:hAnsi="Georgia"/>
          <w:sz w:val="20"/>
          <w:szCs w:val="20"/>
        </w:rPr>
        <w:t xml:space="preserve">. </w:t>
      </w:r>
    </w:p>
    <w:p w14:paraId="2E67C0F2" w14:textId="3009207E" w:rsidR="00097A80" w:rsidRPr="00CC4A26" w:rsidRDefault="00585567" w:rsidP="00CC4A26">
      <w:pPr>
        <w:pStyle w:val="Kopfzeile"/>
        <w:tabs>
          <w:tab w:val="clear" w:pos="4703"/>
          <w:tab w:val="clear" w:pos="9406"/>
        </w:tabs>
        <w:spacing w:after="200" w:line="276" w:lineRule="auto"/>
        <w:rPr>
          <w:rFonts w:ascii="Georgia" w:hAnsi="Georgia"/>
          <w:sz w:val="20"/>
          <w:szCs w:val="20"/>
        </w:rPr>
      </w:pPr>
      <w:r w:rsidRPr="00CC4A26">
        <w:rPr>
          <w:rFonts w:ascii="Georgia" w:hAnsi="Georgia"/>
          <w:sz w:val="20"/>
          <w:szCs w:val="20"/>
        </w:rPr>
        <w:t>In the Joint SIMP meeting</w:t>
      </w:r>
      <w:r w:rsidR="00F86FAD" w:rsidRPr="00CC4A26">
        <w:rPr>
          <w:rFonts w:ascii="Georgia" w:hAnsi="Georgia"/>
          <w:sz w:val="20"/>
          <w:szCs w:val="20"/>
        </w:rPr>
        <w:t xml:space="preserve"> on 23 January 2020 in Hamburg,</w:t>
      </w:r>
      <w:r w:rsidRPr="00CC4A26">
        <w:rPr>
          <w:rFonts w:ascii="Georgia" w:hAnsi="Georgia"/>
          <w:sz w:val="20"/>
          <w:szCs w:val="20"/>
        </w:rPr>
        <w:t xml:space="preserve"> TG-M and TG-WH discussed and agreed on a referential structure for each key topic</w:t>
      </w:r>
      <w:r w:rsidR="00097A80" w:rsidRPr="00CC4A26">
        <w:rPr>
          <w:rFonts w:ascii="Georgia" w:hAnsi="Georgia"/>
          <w:sz w:val="20"/>
          <w:szCs w:val="20"/>
        </w:rPr>
        <w:t xml:space="preserve"> and on the next steps to develop the content.</w:t>
      </w:r>
      <w:r w:rsidR="00CC4A26" w:rsidRPr="00CC4A26">
        <w:rPr>
          <w:rFonts w:ascii="Georgia" w:hAnsi="Georgia"/>
          <w:sz w:val="20"/>
          <w:szCs w:val="20"/>
        </w:rPr>
        <w:t xml:space="preserve"> </w:t>
      </w:r>
      <w:r w:rsidR="00CC4A26">
        <w:rPr>
          <w:rFonts w:ascii="Georgia" w:hAnsi="Georgia"/>
          <w:sz w:val="20"/>
          <w:szCs w:val="20"/>
        </w:rPr>
        <w:t>The</w:t>
      </w:r>
      <w:r w:rsidR="00CC4A26" w:rsidRPr="00CC4A26">
        <w:rPr>
          <w:rFonts w:ascii="Georgia" w:hAnsi="Georgia"/>
          <w:sz w:val="20"/>
          <w:szCs w:val="20"/>
        </w:rPr>
        <w:t xml:space="preserve"> </w:t>
      </w:r>
      <w:r w:rsidR="002C701D">
        <w:rPr>
          <w:rFonts w:ascii="Georgia" w:hAnsi="Georgia"/>
          <w:sz w:val="20"/>
          <w:szCs w:val="20"/>
        </w:rPr>
        <w:t xml:space="preserve">identified </w:t>
      </w:r>
      <w:r w:rsidR="00CC4A26" w:rsidRPr="00CC4A26">
        <w:rPr>
          <w:rFonts w:ascii="Georgia" w:hAnsi="Georgia"/>
          <w:sz w:val="20"/>
          <w:szCs w:val="20"/>
        </w:rPr>
        <w:t xml:space="preserve">next steps </w:t>
      </w:r>
      <w:r w:rsidR="002C701D">
        <w:rPr>
          <w:rFonts w:ascii="Georgia" w:hAnsi="Georgia"/>
          <w:sz w:val="20"/>
          <w:szCs w:val="20"/>
        </w:rPr>
        <w:t>are to</w:t>
      </w:r>
      <w:r w:rsidR="00CC4A26" w:rsidRPr="00CC4A26">
        <w:rPr>
          <w:rFonts w:ascii="Georgia" w:hAnsi="Georgia"/>
          <w:sz w:val="20"/>
          <w:szCs w:val="20"/>
        </w:rPr>
        <w:t xml:space="preserve"> </w:t>
      </w:r>
      <w:r w:rsidR="002C701D">
        <w:rPr>
          <w:rFonts w:ascii="Georgia" w:hAnsi="Georgia"/>
          <w:sz w:val="20"/>
          <w:szCs w:val="20"/>
        </w:rPr>
        <w:t>d</w:t>
      </w:r>
      <w:r w:rsidR="00CC4A26" w:rsidRPr="00CC4A26">
        <w:rPr>
          <w:rFonts w:ascii="Georgia" w:hAnsi="Georgia"/>
          <w:sz w:val="20"/>
          <w:szCs w:val="20"/>
        </w:rPr>
        <w:t>raft the content of the heading “Inventory” focusing on the legal framework</w:t>
      </w:r>
      <w:r w:rsidR="002C701D">
        <w:rPr>
          <w:rFonts w:ascii="Georgia" w:hAnsi="Georgia"/>
          <w:sz w:val="20"/>
          <w:szCs w:val="20"/>
        </w:rPr>
        <w:t xml:space="preserve"> to </w:t>
      </w:r>
      <w:r w:rsidR="00CC4A26" w:rsidRPr="00CC4A26">
        <w:rPr>
          <w:rFonts w:ascii="Georgia" w:hAnsi="Georgia"/>
          <w:sz w:val="20"/>
          <w:szCs w:val="20"/>
        </w:rPr>
        <w:t>revise and improve</w:t>
      </w:r>
      <w:r w:rsidR="002C701D">
        <w:rPr>
          <w:rFonts w:ascii="Georgia" w:hAnsi="Georgia"/>
          <w:sz w:val="20"/>
          <w:szCs w:val="20"/>
        </w:rPr>
        <w:t xml:space="preserve">, and to </w:t>
      </w:r>
      <w:r w:rsidR="00CC4A26" w:rsidRPr="00CC4A26">
        <w:rPr>
          <w:rFonts w:ascii="Georgia" w:hAnsi="Georgia"/>
          <w:sz w:val="20"/>
          <w:szCs w:val="20"/>
        </w:rPr>
        <w:t>TG-M to propose working approach.</w:t>
      </w:r>
    </w:p>
    <w:p w14:paraId="0583B104" w14:textId="41D7CD9D" w:rsidR="00097A80" w:rsidRPr="00F86FAD" w:rsidRDefault="00097A80" w:rsidP="00097A80">
      <w:pPr>
        <w:pStyle w:val="Kopfzeile"/>
        <w:tabs>
          <w:tab w:val="clear" w:pos="4703"/>
          <w:tab w:val="clear" w:pos="9406"/>
        </w:tabs>
        <w:spacing w:after="200" w:line="276" w:lineRule="auto"/>
        <w:rPr>
          <w:rFonts w:ascii="Georgia" w:hAnsi="Georgia"/>
          <w:sz w:val="20"/>
          <w:szCs w:val="20"/>
        </w:rPr>
      </w:pPr>
      <w:r w:rsidRPr="00F86FAD">
        <w:rPr>
          <w:rFonts w:ascii="Georgia" w:hAnsi="Georgia"/>
          <w:sz w:val="20"/>
          <w:szCs w:val="20"/>
        </w:rPr>
        <w:t xml:space="preserve">This document contains a draft of two headings of the agreed </w:t>
      </w:r>
      <w:r w:rsidR="00CC4A26" w:rsidRPr="00F86FAD">
        <w:rPr>
          <w:rFonts w:ascii="Georgia" w:hAnsi="Georgia"/>
          <w:sz w:val="20"/>
          <w:szCs w:val="20"/>
        </w:rPr>
        <w:t>referential</w:t>
      </w:r>
      <w:r w:rsidRPr="00F86FAD">
        <w:rPr>
          <w:rFonts w:ascii="Georgia" w:hAnsi="Georgia"/>
          <w:sz w:val="20"/>
          <w:szCs w:val="20"/>
        </w:rPr>
        <w:t xml:space="preserve"> content structure for </w:t>
      </w:r>
      <w:r w:rsidRPr="00F86FAD">
        <w:rPr>
          <w:rFonts w:ascii="Georgia" w:hAnsi="Georgia"/>
          <w:sz w:val="20"/>
          <w:szCs w:val="20"/>
          <w:lang w:val="en-GB" w:eastAsia="de-DE"/>
        </w:rPr>
        <w:t xml:space="preserve">renewable energy, energy from oil and gas: </w:t>
      </w:r>
      <w:r w:rsidRPr="00F86FAD">
        <w:rPr>
          <w:rFonts w:ascii="Georgia" w:hAnsi="Georgia"/>
          <w:sz w:val="20"/>
          <w:szCs w:val="20"/>
        </w:rPr>
        <w:t xml:space="preserve">“Inventory” and “Common ground” as a </w:t>
      </w:r>
      <w:r w:rsidR="00CC4A26">
        <w:rPr>
          <w:rFonts w:ascii="Georgia" w:hAnsi="Georgia"/>
          <w:sz w:val="20"/>
          <w:szCs w:val="20"/>
        </w:rPr>
        <w:t>first draft</w:t>
      </w:r>
      <w:r w:rsidRPr="00F86FAD">
        <w:rPr>
          <w:rFonts w:ascii="Georgia" w:hAnsi="Georgia"/>
          <w:sz w:val="20"/>
          <w:szCs w:val="20"/>
        </w:rPr>
        <w:t xml:space="preserve"> </w:t>
      </w:r>
      <w:r w:rsidR="00CC4A26">
        <w:rPr>
          <w:rFonts w:ascii="Georgia" w:hAnsi="Georgia"/>
          <w:sz w:val="20"/>
          <w:szCs w:val="20"/>
        </w:rPr>
        <w:t>content</w:t>
      </w:r>
      <w:r w:rsidRPr="00F86FAD">
        <w:rPr>
          <w:rFonts w:ascii="Georgia" w:hAnsi="Georgia"/>
          <w:sz w:val="20"/>
          <w:szCs w:val="20"/>
        </w:rPr>
        <w:t xml:space="preserve"> to </w:t>
      </w:r>
      <w:r w:rsidR="00CC4A26">
        <w:rPr>
          <w:rFonts w:ascii="Georgia" w:hAnsi="Georgia"/>
          <w:sz w:val="20"/>
          <w:szCs w:val="20"/>
        </w:rPr>
        <w:t xml:space="preserve">discuss upon, </w:t>
      </w:r>
      <w:r w:rsidRPr="00F86FAD">
        <w:rPr>
          <w:rFonts w:ascii="Georgia" w:hAnsi="Georgia"/>
          <w:sz w:val="20"/>
          <w:szCs w:val="20"/>
        </w:rPr>
        <w:t>revise and improve.</w:t>
      </w:r>
    </w:p>
    <w:p w14:paraId="07EC93C8" w14:textId="77777777" w:rsidR="00097A80" w:rsidRPr="00F86FAD" w:rsidRDefault="00097A80" w:rsidP="008561DC">
      <w:pPr>
        <w:pStyle w:val="Kopfzeile"/>
        <w:tabs>
          <w:tab w:val="clear" w:pos="4703"/>
          <w:tab w:val="clear" w:pos="9406"/>
        </w:tabs>
        <w:spacing w:after="200" w:line="276" w:lineRule="auto"/>
        <w:rPr>
          <w:rFonts w:ascii="Georgia" w:hAnsi="Georgia"/>
          <w:sz w:val="20"/>
          <w:szCs w:val="20"/>
          <w:lang w:val="en-GB" w:eastAsia="de-DE"/>
        </w:rPr>
      </w:pPr>
    </w:p>
    <w:p w14:paraId="05FF4C1A" w14:textId="77777777" w:rsidR="00CC4A26" w:rsidRPr="001A5AB5" w:rsidRDefault="00CC4A26" w:rsidP="00097A80">
      <w:pPr>
        <w:pStyle w:val="Kopfzeile"/>
        <w:tabs>
          <w:tab w:val="clear" w:pos="4703"/>
          <w:tab w:val="clear" w:pos="9406"/>
        </w:tabs>
        <w:spacing w:after="200" w:line="276" w:lineRule="auto"/>
        <w:rPr>
          <w:rFonts w:ascii="Georgia" w:hAnsi="Georgia"/>
          <w:sz w:val="20"/>
          <w:szCs w:val="22"/>
          <w:lang w:val="en-GB" w:eastAsia="de-DE"/>
        </w:rPr>
      </w:pPr>
    </w:p>
    <w:p w14:paraId="6B8E1054" w14:textId="77777777" w:rsidR="008561DC" w:rsidRPr="001A5AB5" w:rsidRDefault="008561DC" w:rsidP="008561DC">
      <w:pPr>
        <w:pStyle w:val="Kopfzeile"/>
        <w:tabs>
          <w:tab w:val="clear" w:pos="4703"/>
          <w:tab w:val="clear" w:pos="9406"/>
        </w:tabs>
        <w:spacing w:after="120" w:line="276" w:lineRule="auto"/>
        <w:rPr>
          <w:rFonts w:ascii="Georgia" w:hAnsi="Georgia"/>
          <w:sz w:val="22"/>
          <w:szCs w:val="22"/>
          <w:lang w:val="en-GB" w:eastAsia="de-DE"/>
        </w:rPr>
      </w:pPr>
    </w:p>
    <w:p w14:paraId="44155BA1" w14:textId="00E567C1" w:rsidR="008561DC" w:rsidRPr="002C701D"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group</w:t>
      </w:r>
      <w:r w:rsidRPr="001A5AB5">
        <w:rPr>
          <w:rFonts w:ascii="Georgia" w:hAnsi="Georgia"/>
          <w:sz w:val="22"/>
          <w:szCs w:val="22"/>
          <w:lang w:val="en-GB"/>
        </w:rPr>
        <w:t xml:space="preserve"> is </w:t>
      </w:r>
      <w:r w:rsidRPr="002C701D">
        <w:rPr>
          <w:rFonts w:ascii="Georgia" w:hAnsi="Georgia"/>
          <w:sz w:val="22"/>
          <w:szCs w:val="22"/>
          <w:lang w:val="en-GB"/>
        </w:rPr>
        <w:t>invited to</w:t>
      </w:r>
      <w:r w:rsidR="007A6FA2" w:rsidRPr="002C701D">
        <w:rPr>
          <w:rFonts w:ascii="Georgia" w:hAnsi="Georgia"/>
          <w:sz w:val="22"/>
          <w:szCs w:val="22"/>
          <w:lang w:val="en-GB"/>
        </w:rPr>
        <w:t xml:space="preserve"> </w:t>
      </w:r>
      <w:r w:rsidR="00F56A9B" w:rsidRPr="002C701D">
        <w:rPr>
          <w:rFonts w:ascii="Georgia" w:hAnsi="Georgia"/>
          <w:sz w:val="22"/>
          <w:szCs w:val="22"/>
          <w:lang w:val="en-GB"/>
        </w:rPr>
        <w:t xml:space="preserve">revise </w:t>
      </w:r>
      <w:r w:rsidR="003F3549" w:rsidRPr="002C701D">
        <w:rPr>
          <w:rFonts w:ascii="Georgia" w:hAnsi="Georgia"/>
          <w:sz w:val="22"/>
          <w:szCs w:val="22"/>
          <w:lang w:val="en-GB"/>
        </w:rPr>
        <w:t xml:space="preserve">and comment </w:t>
      </w:r>
      <w:r w:rsidR="00F56A9B" w:rsidRPr="002C701D">
        <w:rPr>
          <w:rFonts w:ascii="Georgia" w:hAnsi="Georgia"/>
          <w:sz w:val="22"/>
          <w:szCs w:val="22"/>
          <w:lang w:val="en-GB"/>
        </w:rPr>
        <w:t xml:space="preserve">the draft. </w:t>
      </w:r>
    </w:p>
    <w:p w14:paraId="5A749F9F" w14:textId="540A456E" w:rsidR="00FF6F35" w:rsidRPr="001A5AB5" w:rsidRDefault="00FF6F35" w:rsidP="008561DC">
      <w:pPr>
        <w:spacing w:after="120" w:line="276" w:lineRule="auto"/>
        <w:rPr>
          <w:rFonts w:ascii="Georgia" w:hAnsi="Georgia"/>
          <w:sz w:val="22"/>
          <w:szCs w:val="22"/>
          <w:lang w:val="en-GB"/>
        </w:rPr>
      </w:pPr>
      <w:r>
        <w:rPr>
          <w:rFonts w:ascii="Georgia" w:hAnsi="Georgia"/>
          <w:sz w:val="22"/>
          <w:szCs w:val="22"/>
          <w:lang w:val="en-GB"/>
        </w:rPr>
        <w:tab/>
      </w:r>
      <w:r>
        <w:rPr>
          <w:rFonts w:ascii="Georgia" w:hAnsi="Georgia"/>
          <w:sz w:val="22"/>
          <w:szCs w:val="22"/>
          <w:lang w:val="en-GB"/>
        </w:rPr>
        <w:tab/>
        <w:t xml:space="preserve">The group is invited to discuss and propose a working approach.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0631F394" w:rsidR="0051787B" w:rsidRDefault="00E33800" w:rsidP="00DE3D4D">
      <w:pPr>
        <w:pStyle w:val="berschrift1"/>
      </w:pPr>
      <w:r w:rsidRPr="00DE3D4D">
        <w:lastRenderedPageBreak/>
        <w:t>Overview of the current situation</w:t>
      </w:r>
      <w:r w:rsidR="003443E9">
        <w:t xml:space="preserve"> of energy</w:t>
      </w:r>
      <w:r w:rsidRPr="00DE3D4D">
        <w:t xml:space="preserve"> </w:t>
      </w:r>
      <w:r w:rsidR="002C701D">
        <w:t>exploitation adjacent to</w:t>
      </w:r>
      <w:r w:rsidRPr="00DE3D4D">
        <w:t xml:space="preserve"> the Wadden Sea </w:t>
      </w:r>
      <w:r w:rsidR="001A4598">
        <w:t>World Heritage</w:t>
      </w:r>
      <w:r w:rsidR="000B7E8C">
        <w:t xml:space="preserve"> </w:t>
      </w:r>
    </w:p>
    <w:p w14:paraId="713D5764" w14:textId="380C6316" w:rsidR="000B7E8C" w:rsidRPr="000B7E8C" w:rsidRDefault="000B7E8C" w:rsidP="000B7E8C">
      <w:pPr>
        <w:rPr>
          <w:lang w:val="en-GB"/>
        </w:rPr>
      </w:pPr>
    </w:p>
    <w:p w14:paraId="549FCEDC" w14:textId="59E46B2C" w:rsidR="0051787B" w:rsidRPr="00DE3D4D" w:rsidRDefault="00E33800" w:rsidP="00DE3D4D">
      <w:pPr>
        <w:pStyle w:val="berschrift2"/>
      </w:pPr>
      <w:r w:rsidRPr="00DE3D4D">
        <w:t>Background</w:t>
      </w:r>
    </w:p>
    <w:p w14:paraId="0CEF4620" w14:textId="257AE3A4" w:rsidR="00172260" w:rsidRDefault="00A0036B" w:rsidP="00172260">
      <w:pPr>
        <w:pStyle w:val="Kopfzeile"/>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WSWH </w:t>
      </w:r>
      <w:r w:rsidR="00172260" w:rsidRPr="002C701D">
        <w:rPr>
          <w:rFonts w:ascii="Georgia" w:hAnsi="Georgia"/>
          <w:sz w:val="20"/>
          <w:szCs w:val="22"/>
          <w:lang w:val="en-GB" w:eastAsia="de-DE"/>
        </w:rPr>
        <w:t>Managers</w:t>
      </w:r>
      <w:r>
        <w:rPr>
          <w:rFonts w:ascii="Georgia" w:hAnsi="Georgia"/>
          <w:sz w:val="20"/>
          <w:szCs w:val="22"/>
          <w:lang w:val="en-GB" w:eastAsia="de-DE"/>
        </w:rPr>
        <w:t xml:space="preserve"> and </w:t>
      </w:r>
      <w:r w:rsidR="00172260" w:rsidRPr="002C701D">
        <w:rPr>
          <w:rFonts w:ascii="Georgia" w:hAnsi="Georgia"/>
          <w:sz w:val="20"/>
          <w:szCs w:val="22"/>
          <w:lang w:val="en-GB" w:eastAsia="de-DE"/>
        </w:rPr>
        <w:t>TG</w:t>
      </w:r>
      <w:r w:rsidR="002C701D" w:rsidRPr="002C701D">
        <w:rPr>
          <w:rFonts w:ascii="Georgia" w:hAnsi="Georgia"/>
          <w:sz w:val="20"/>
          <w:szCs w:val="22"/>
          <w:lang w:val="en-GB" w:eastAsia="de-DE"/>
        </w:rPr>
        <w:t>-</w:t>
      </w:r>
      <w:r w:rsidR="00172260" w:rsidRPr="002C701D">
        <w:rPr>
          <w:rFonts w:ascii="Georgia" w:hAnsi="Georgia"/>
          <w:sz w:val="20"/>
          <w:szCs w:val="22"/>
          <w:lang w:val="en-GB" w:eastAsia="de-DE"/>
        </w:rPr>
        <w:t xml:space="preserve">WH identified </w:t>
      </w:r>
      <w:r>
        <w:rPr>
          <w:rFonts w:ascii="Georgia" w:hAnsi="Georgia"/>
          <w:sz w:val="20"/>
          <w:szCs w:val="22"/>
          <w:lang w:val="en-GB" w:eastAsia="de-DE"/>
        </w:rPr>
        <w:t>“I</w:t>
      </w:r>
      <w:r w:rsidR="00172260" w:rsidRPr="002C701D">
        <w:rPr>
          <w:rFonts w:ascii="Georgia" w:hAnsi="Georgia"/>
          <w:sz w:val="20"/>
          <w:szCs w:val="22"/>
          <w:lang w:val="en-GB" w:eastAsia="de-DE"/>
        </w:rPr>
        <w:t>mpacts from outside</w:t>
      </w:r>
      <w:r>
        <w:rPr>
          <w:rFonts w:ascii="Georgia" w:hAnsi="Georgia"/>
          <w:sz w:val="20"/>
          <w:szCs w:val="22"/>
          <w:lang w:val="en-GB" w:eastAsia="de-DE"/>
        </w:rPr>
        <w:t>”</w:t>
      </w:r>
      <w:r w:rsidR="00172260" w:rsidRPr="002C701D">
        <w:rPr>
          <w:rFonts w:ascii="Georgia" w:hAnsi="Georgia"/>
          <w:sz w:val="20"/>
          <w:szCs w:val="22"/>
          <w:lang w:val="en-GB" w:eastAsia="de-DE"/>
        </w:rPr>
        <w:t xml:space="preserve"> as a key topic</w:t>
      </w:r>
      <w:r>
        <w:rPr>
          <w:rFonts w:ascii="Georgia" w:hAnsi="Georgia"/>
          <w:sz w:val="20"/>
          <w:szCs w:val="22"/>
          <w:lang w:val="en-GB" w:eastAsia="de-DE"/>
        </w:rPr>
        <w:t xml:space="preserve"> for the SIMP, also </w:t>
      </w:r>
      <w:r w:rsidR="002C701D">
        <w:rPr>
          <w:rFonts w:ascii="Georgia" w:hAnsi="Georgia"/>
          <w:sz w:val="20"/>
          <w:szCs w:val="22"/>
          <w:lang w:val="en-GB" w:eastAsia="de-DE"/>
        </w:rPr>
        <w:t>endorsed by the WSB 30</w:t>
      </w:r>
      <w:r w:rsidR="00172260" w:rsidRPr="002C701D">
        <w:rPr>
          <w:rFonts w:ascii="Georgia" w:hAnsi="Georgia"/>
          <w:sz w:val="20"/>
          <w:szCs w:val="22"/>
          <w:lang w:val="en-GB" w:eastAsia="de-DE"/>
        </w:rPr>
        <w:t xml:space="preserve">. The </w:t>
      </w:r>
      <w:r w:rsidR="002C701D">
        <w:rPr>
          <w:rFonts w:ascii="Georgia" w:hAnsi="Georgia"/>
          <w:sz w:val="20"/>
          <w:szCs w:val="22"/>
          <w:lang w:val="en-GB" w:eastAsia="de-DE"/>
        </w:rPr>
        <w:t>j</w:t>
      </w:r>
      <w:r w:rsidR="00172260" w:rsidRPr="002C701D">
        <w:rPr>
          <w:rFonts w:ascii="Georgia" w:hAnsi="Georgia"/>
          <w:sz w:val="20"/>
          <w:szCs w:val="22"/>
          <w:lang w:val="en-GB" w:eastAsia="de-DE"/>
        </w:rPr>
        <w:t>oint SIMP meeting</w:t>
      </w:r>
      <w:r w:rsidR="002C701D">
        <w:rPr>
          <w:rFonts w:ascii="Georgia" w:hAnsi="Georgia"/>
          <w:sz w:val="20"/>
          <w:szCs w:val="22"/>
          <w:lang w:val="en-GB" w:eastAsia="de-DE"/>
        </w:rPr>
        <w:t xml:space="preserve"> (TG-M and TG-WH)</w:t>
      </w:r>
      <w:r w:rsidR="00172260" w:rsidRPr="002C701D">
        <w:rPr>
          <w:rFonts w:ascii="Georgia" w:hAnsi="Georgia"/>
          <w:sz w:val="20"/>
          <w:szCs w:val="22"/>
          <w:lang w:val="en-GB" w:eastAsia="de-DE"/>
        </w:rPr>
        <w:t xml:space="preserve"> agreed to </w:t>
      </w:r>
      <w:r w:rsidR="002C701D" w:rsidRPr="002C701D">
        <w:rPr>
          <w:rFonts w:ascii="Georgia" w:hAnsi="Georgia"/>
          <w:sz w:val="20"/>
          <w:szCs w:val="22"/>
          <w:lang w:val="en-GB" w:eastAsia="de-DE"/>
        </w:rPr>
        <w:t>specify</w:t>
      </w:r>
      <w:r w:rsidR="00172260" w:rsidRPr="002C701D">
        <w:rPr>
          <w:rFonts w:ascii="Georgia" w:hAnsi="Georgia"/>
          <w:sz w:val="20"/>
          <w:szCs w:val="22"/>
          <w:lang w:val="en-GB" w:eastAsia="de-DE"/>
        </w:rPr>
        <w:t xml:space="preserve"> the title of this key topic from “Impacts from outside” to “Renewable energy”, “Energy from Oil and Gas” and “Coastal flood defen</w:t>
      </w:r>
      <w:r w:rsidR="00A739B9" w:rsidRPr="002C701D">
        <w:rPr>
          <w:rFonts w:ascii="Georgia" w:hAnsi="Georgia"/>
          <w:sz w:val="20"/>
          <w:szCs w:val="22"/>
          <w:lang w:val="en-GB" w:eastAsia="de-DE"/>
        </w:rPr>
        <w:t>c</w:t>
      </w:r>
      <w:r w:rsidR="00172260" w:rsidRPr="002C701D">
        <w:rPr>
          <w:rFonts w:ascii="Georgia" w:hAnsi="Georgia"/>
          <w:sz w:val="20"/>
          <w:szCs w:val="22"/>
          <w:lang w:val="en-GB" w:eastAsia="de-DE"/>
        </w:rPr>
        <w:t>e and protection”. The</w:t>
      </w:r>
      <w:r w:rsidR="002C701D" w:rsidRPr="002C701D">
        <w:rPr>
          <w:rFonts w:ascii="Georgia" w:hAnsi="Georgia"/>
          <w:sz w:val="20"/>
          <w:szCs w:val="22"/>
          <w:lang w:val="en-GB" w:eastAsia="de-DE"/>
        </w:rPr>
        <w:t xml:space="preserve"> </w:t>
      </w:r>
      <w:r w:rsidR="002C701D">
        <w:rPr>
          <w:rFonts w:ascii="Georgia" w:hAnsi="Georgia"/>
          <w:sz w:val="20"/>
          <w:szCs w:val="22"/>
          <w:lang w:val="en-GB" w:eastAsia="de-DE"/>
        </w:rPr>
        <w:t xml:space="preserve">meeting </w:t>
      </w:r>
      <w:r w:rsidR="00172260" w:rsidRPr="002C701D">
        <w:rPr>
          <w:rFonts w:ascii="Georgia" w:hAnsi="Georgia"/>
          <w:sz w:val="20"/>
          <w:szCs w:val="22"/>
          <w:lang w:val="en-GB" w:eastAsia="de-DE"/>
        </w:rPr>
        <w:t xml:space="preserve">also agreed on </w:t>
      </w:r>
      <w:r w:rsidR="002C701D">
        <w:rPr>
          <w:rFonts w:ascii="Georgia" w:hAnsi="Georgia"/>
          <w:sz w:val="20"/>
          <w:szCs w:val="22"/>
          <w:lang w:val="en-GB" w:eastAsia="de-DE"/>
        </w:rPr>
        <w:t>a referential content structure (</w:t>
      </w:r>
      <w:r w:rsidR="00172260" w:rsidRPr="002C701D">
        <w:rPr>
          <w:rFonts w:ascii="Georgia" w:hAnsi="Georgia"/>
          <w:sz w:val="20"/>
          <w:szCs w:val="22"/>
          <w:lang w:val="en-GB" w:eastAsia="de-DE"/>
        </w:rPr>
        <w:t>Annex 1</w:t>
      </w:r>
      <w:r w:rsidR="002C701D">
        <w:rPr>
          <w:rFonts w:ascii="Georgia" w:hAnsi="Georgia"/>
          <w:sz w:val="20"/>
          <w:szCs w:val="22"/>
          <w:lang w:val="en-GB" w:eastAsia="de-DE"/>
        </w:rPr>
        <w:t>)</w:t>
      </w:r>
      <w:r w:rsidR="00172260" w:rsidRPr="002C701D">
        <w:rPr>
          <w:rFonts w:ascii="Georgia" w:hAnsi="Georgia"/>
          <w:sz w:val="20"/>
          <w:szCs w:val="22"/>
          <w:lang w:val="en-GB" w:eastAsia="de-DE"/>
        </w:rPr>
        <w:t>.</w:t>
      </w:r>
    </w:p>
    <w:p w14:paraId="3790A6F2" w14:textId="51AAF38A" w:rsidR="00DD6B84" w:rsidRDefault="005F4667" w:rsidP="00DD6B84">
      <w:pPr>
        <w:pStyle w:val="Kopfzeile"/>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The following </w:t>
      </w:r>
      <w:r w:rsidR="00DD6B84">
        <w:rPr>
          <w:rFonts w:ascii="Georgia" w:hAnsi="Georgia"/>
          <w:sz w:val="20"/>
          <w:szCs w:val="22"/>
          <w:lang w:val="en-GB" w:eastAsia="de-DE"/>
        </w:rPr>
        <w:t xml:space="preserve">draft text addresses </w:t>
      </w:r>
      <w:r w:rsidR="00DD6B84" w:rsidRPr="002C701D">
        <w:rPr>
          <w:rFonts w:ascii="Georgia" w:hAnsi="Georgia"/>
          <w:sz w:val="20"/>
          <w:szCs w:val="22"/>
          <w:lang w:val="en-GB" w:eastAsia="de-DE"/>
        </w:rPr>
        <w:t>“Renewable energy”</w:t>
      </w:r>
      <w:r w:rsidR="00DD6B84">
        <w:rPr>
          <w:rFonts w:ascii="Georgia" w:hAnsi="Georgia"/>
          <w:sz w:val="20"/>
          <w:szCs w:val="22"/>
          <w:lang w:val="en-GB" w:eastAsia="de-DE"/>
        </w:rPr>
        <w:t xml:space="preserve"> and </w:t>
      </w:r>
      <w:r w:rsidR="00DD6B84" w:rsidRPr="002C701D">
        <w:rPr>
          <w:rFonts w:ascii="Georgia" w:hAnsi="Georgia"/>
          <w:sz w:val="20"/>
          <w:szCs w:val="22"/>
          <w:lang w:val="en-GB" w:eastAsia="de-DE"/>
        </w:rPr>
        <w:t>“Energy from Oil and Gas”</w:t>
      </w:r>
      <w:r w:rsidR="00DD6B84">
        <w:rPr>
          <w:rFonts w:ascii="Georgia" w:hAnsi="Georgia"/>
          <w:sz w:val="20"/>
          <w:szCs w:val="22"/>
          <w:lang w:val="en-GB" w:eastAsia="de-DE"/>
        </w:rPr>
        <w:t xml:space="preserve"> separately. It gives </w:t>
      </w:r>
      <w:r>
        <w:rPr>
          <w:rFonts w:ascii="Georgia" w:hAnsi="Georgia"/>
          <w:sz w:val="20"/>
          <w:szCs w:val="22"/>
          <w:lang w:val="en-GB" w:eastAsia="de-DE"/>
        </w:rPr>
        <w:t xml:space="preserve">a </w:t>
      </w:r>
      <w:r w:rsidR="00DD6B84">
        <w:rPr>
          <w:rFonts w:ascii="Georgia" w:hAnsi="Georgia"/>
          <w:sz w:val="20"/>
          <w:szCs w:val="22"/>
          <w:lang w:val="en-GB" w:eastAsia="de-DE"/>
        </w:rPr>
        <w:t>brief</w:t>
      </w:r>
      <w:r>
        <w:rPr>
          <w:rFonts w:ascii="Georgia" w:hAnsi="Georgia"/>
          <w:sz w:val="20"/>
          <w:szCs w:val="22"/>
          <w:lang w:val="en-GB" w:eastAsia="de-DE"/>
        </w:rPr>
        <w:t xml:space="preserve"> definition of what are we referring to with </w:t>
      </w:r>
      <w:r w:rsidRPr="002C701D">
        <w:rPr>
          <w:rFonts w:ascii="Georgia" w:hAnsi="Georgia"/>
          <w:sz w:val="20"/>
          <w:szCs w:val="22"/>
          <w:lang w:val="en-GB" w:eastAsia="de-DE"/>
        </w:rPr>
        <w:t>Renewable energy”</w:t>
      </w:r>
      <w:r>
        <w:rPr>
          <w:rFonts w:ascii="Georgia" w:hAnsi="Georgia"/>
          <w:sz w:val="20"/>
          <w:szCs w:val="22"/>
          <w:lang w:val="en-GB" w:eastAsia="de-DE"/>
        </w:rPr>
        <w:t xml:space="preserve"> and </w:t>
      </w:r>
      <w:r w:rsidRPr="002C701D">
        <w:rPr>
          <w:rFonts w:ascii="Georgia" w:hAnsi="Georgia"/>
          <w:sz w:val="20"/>
          <w:szCs w:val="22"/>
          <w:lang w:val="en-GB" w:eastAsia="de-DE"/>
        </w:rPr>
        <w:t>“Energy from Oil and Gas”</w:t>
      </w:r>
      <w:r>
        <w:rPr>
          <w:rFonts w:ascii="Georgia" w:hAnsi="Georgia"/>
          <w:sz w:val="20"/>
          <w:szCs w:val="22"/>
          <w:lang w:val="en-GB" w:eastAsia="de-DE"/>
        </w:rPr>
        <w:t xml:space="preserve"> in the Wadden Sea, what is the current status, the common agreements, trends and threats. The sources of information used were the WSP 2010, the QSR 2017, the Nomination Dossiers from 2008 and 2014, and </w:t>
      </w:r>
      <w:hyperlink r:id="rId9" w:history="1">
        <w:r w:rsidRPr="005F4667">
          <w:rPr>
            <w:rStyle w:val="Hyperlink"/>
            <w:rFonts w:ascii="Georgia" w:hAnsi="Georgia"/>
            <w:sz w:val="20"/>
            <w:szCs w:val="20"/>
          </w:rPr>
          <w:t>ec.europa.eu/energy</w:t>
        </w:r>
      </w:hyperlink>
      <w:r>
        <w:rPr>
          <w:rStyle w:val="Hyperlink"/>
          <w:rFonts w:ascii="Georgia" w:hAnsi="Georgia"/>
          <w:sz w:val="20"/>
          <w:szCs w:val="20"/>
        </w:rPr>
        <w:t>.</w:t>
      </w:r>
    </w:p>
    <w:p w14:paraId="6A54C3F8" w14:textId="477DD904" w:rsidR="00DD6B84" w:rsidRDefault="005F4667" w:rsidP="00DD6B84">
      <w:pPr>
        <w:pStyle w:val="Kopfzeile"/>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w:t>
      </w:r>
      <w:r w:rsidR="002C701D">
        <w:rPr>
          <w:rFonts w:ascii="Georgia" w:hAnsi="Georgia"/>
          <w:sz w:val="20"/>
          <w:szCs w:val="22"/>
          <w:lang w:val="en-GB" w:eastAsia="de-DE"/>
        </w:rPr>
        <w:t xml:space="preserve"> draft</w:t>
      </w:r>
      <w:r w:rsidR="00A0036B">
        <w:rPr>
          <w:rFonts w:ascii="Georgia" w:hAnsi="Georgia"/>
          <w:sz w:val="20"/>
          <w:szCs w:val="22"/>
          <w:lang w:val="en-GB" w:eastAsia="de-DE"/>
        </w:rPr>
        <w:t xml:space="preserve"> is a basis for further reflection on the level of detail needed and wanted</w:t>
      </w:r>
      <w:r w:rsidR="00DD6B84">
        <w:rPr>
          <w:rFonts w:ascii="Georgia" w:hAnsi="Georgia"/>
          <w:sz w:val="20"/>
          <w:szCs w:val="22"/>
          <w:lang w:val="en-GB" w:eastAsia="de-DE"/>
        </w:rPr>
        <w:t xml:space="preserve"> in the content of the headings “Inventory” and “Common ground”, as well as for identifying whether there is the need to update certain information and if there is additional relevant information that needs to be considered.</w:t>
      </w:r>
    </w:p>
    <w:p w14:paraId="61394998" w14:textId="77777777" w:rsidR="005F4667" w:rsidRDefault="005F4667" w:rsidP="00A739B9">
      <w:pPr>
        <w:pStyle w:val="berschrift2"/>
      </w:pPr>
    </w:p>
    <w:p w14:paraId="33AFEF8A" w14:textId="2191FE01" w:rsidR="00A739B9" w:rsidRDefault="005F4667" w:rsidP="00A739B9">
      <w:pPr>
        <w:pStyle w:val="berschrift2"/>
      </w:pPr>
      <w:r>
        <w:t>R</w:t>
      </w:r>
      <w:r w:rsidR="00A739B9" w:rsidRPr="0051671D">
        <w:t xml:space="preserve">enewable </w:t>
      </w:r>
      <w:r w:rsidR="00A739B9">
        <w:t>e</w:t>
      </w:r>
      <w:r w:rsidR="00A739B9" w:rsidRPr="0051671D">
        <w:t>nergy</w:t>
      </w:r>
      <w:r w:rsidR="00A739B9">
        <w:t xml:space="preserve"> </w:t>
      </w:r>
      <w:r>
        <w:t>- draft</w:t>
      </w:r>
    </w:p>
    <w:p w14:paraId="0F429F96" w14:textId="37E3B10D" w:rsidR="004F46FF" w:rsidRDefault="004F46FF" w:rsidP="000254CE">
      <w:pPr>
        <w:spacing w:after="200" w:line="276" w:lineRule="auto"/>
        <w:rPr>
          <w:rFonts w:ascii="Georgia" w:hAnsi="Georgia"/>
          <w:sz w:val="20"/>
          <w:szCs w:val="20"/>
        </w:rPr>
      </w:pPr>
      <w:r w:rsidRPr="00F55AD6">
        <w:rPr>
          <w:rFonts w:ascii="Georgia" w:hAnsi="Georgia"/>
          <w:sz w:val="20"/>
          <w:szCs w:val="20"/>
        </w:rPr>
        <w:t>Renewable energy in the Wadden Sea refers to wind energy</w:t>
      </w:r>
      <w:r w:rsidR="00F55AD6">
        <w:rPr>
          <w:rFonts w:ascii="Georgia" w:hAnsi="Georgia"/>
          <w:sz w:val="20"/>
          <w:szCs w:val="20"/>
        </w:rPr>
        <w:t xml:space="preserve"> and the </w:t>
      </w:r>
      <w:r w:rsidR="005F4667">
        <w:rPr>
          <w:rFonts w:ascii="Georgia" w:hAnsi="Georgia"/>
          <w:sz w:val="20"/>
          <w:szCs w:val="20"/>
        </w:rPr>
        <w:t xml:space="preserve">associated </w:t>
      </w:r>
      <w:r w:rsidR="002C701D">
        <w:rPr>
          <w:rFonts w:ascii="Georgia" w:hAnsi="Georgia"/>
          <w:sz w:val="20"/>
          <w:szCs w:val="20"/>
        </w:rPr>
        <w:t xml:space="preserve">laying of high voltage transfer </w:t>
      </w:r>
      <w:r w:rsidR="00F55AD6">
        <w:rPr>
          <w:rFonts w:ascii="Georgia" w:hAnsi="Georgia"/>
          <w:sz w:val="20"/>
          <w:szCs w:val="20"/>
        </w:rPr>
        <w:t>cables.</w:t>
      </w:r>
    </w:p>
    <w:p w14:paraId="270ED0EA" w14:textId="3082E6DA" w:rsidR="00EA070D" w:rsidRPr="00EA070D" w:rsidRDefault="00EA070D" w:rsidP="00EA070D">
      <w:pPr>
        <w:spacing w:line="276" w:lineRule="auto"/>
        <w:rPr>
          <w:rFonts w:ascii="Georgia" w:hAnsi="Georgia"/>
          <w:i/>
          <w:iCs/>
          <w:sz w:val="20"/>
          <w:szCs w:val="20"/>
          <w:u w:val="single"/>
        </w:rPr>
      </w:pPr>
      <w:r w:rsidRPr="00EA070D">
        <w:rPr>
          <w:rFonts w:ascii="Georgia" w:hAnsi="Georgia"/>
          <w:i/>
          <w:iCs/>
          <w:sz w:val="20"/>
          <w:szCs w:val="20"/>
          <w:u w:val="single"/>
        </w:rPr>
        <w:t>Inventory</w:t>
      </w:r>
    </w:p>
    <w:p w14:paraId="28DF156F" w14:textId="14F5FD4B" w:rsidR="00EA070D" w:rsidRDefault="00EA070D" w:rsidP="000254CE">
      <w:pPr>
        <w:spacing w:after="200" w:line="276" w:lineRule="auto"/>
        <w:rPr>
          <w:rFonts w:ascii="Georgia" w:hAnsi="Georgia"/>
          <w:sz w:val="20"/>
          <w:szCs w:val="20"/>
        </w:rPr>
      </w:pPr>
      <w:r>
        <w:rPr>
          <w:rFonts w:ascii="Georgia" w:hAnsi="Georgia"/>
          <w:sz w:val="20"/>
          <w:szCs w:val="20"/>
        </w:rPr>
        <w:t>There are no wind farms or wind turbines within the Wadden Sea World Heritage property. The transfer cables cross underneath the property.</w:t>
      </w:r>
      <w:r w:rsidR="001A4598">
        <w:rPr>
          <w:rFonts w:ascii="Georgia" w:hAnsi="Georgia"/>
          <w:sz w:val="20"/>
          <w:szCs w:val="20"/>
        </w:rPr>
        <w:t xml:space="preserve"> </w:t>
      </w:r>
      <w:r w:rsidR="001A4598" w:rsidRPr="00EA070D">
        <w:rPr>
          <w:rFonts w:ascii="Georgia" w:hAnsi="Georgia"/>
          <w:sz w:val="20"/>
          <w:szCs w:val="20"/>
        </w:rPr>
        <w:t xml:space="preserve">Figure </w:t>
      </w:r>
      <w:r w:rsidR="001A4598">
        <w:rPr>
          <w:rFonts w:ascii="Georgia" w:hAnsi="Georgia"/>
          <w:sz w:val="20"/>
          <w:szCs w:val="20"/>
        </w:rPr>
        <w:t>1</w:t>
      </w:r>
      <w:r w:rsidR="001A4598" w:rsidRPr="00EA070D">
        <w:rPr>
          <w:rFonts w:ascii="Georgia" w:hAnsi="Georgia"/>
          <w:sz w:val="20"/>
          <w:szCs w:val="20"/>
        </w:rPr>
        <w:t xml:space="preserve"> shows the Wind farms in the Netherlands, Germany and Denmark</w:t>
      </w:r>
      <w:r w:rsidR="001A4598">
        <w:rPr>
          <w:rFonts w:ascii="Georgia" w:hAnsi="Georgia"/>
          <w:sz w:val="20"/>
          <w:szCs w:val="20"/>
        </w:rPr>
        <w:t xml:space="preserve"> and the cable corridors.</w:t>
      </w:r>
    </w:p>
    <w:p w14:paraId="3C02EFAD" w14:textId="434723B4" w:rsidR="00B466A5" w:rsidRPr="00B466A5" w:rsidRDefault="00B466A5" w:rsidP="000254CE">
      <w:pPr>
        <w:spacing w:after="200" w:line="276" w:lineRule="auto"/>
        <w:rPr>
          <w:rFonts w:ascii="Georgia" w:hAnsi="Georgia"/>
          <w:i/>
          <w:iCs/>
          <w:sz w:val="20"/>
          <w:szCs w:val="20"/>
        </w:rPr>
      </w:pPr>
      <w:r w:rsidRPr="00B466A5">
        <w:rPr>
          <w:rFonts w:ascii="Georgia" w:hAnsi="Georgia"/>
          <w:i/>
          <w:iCs/>
          <w:sz w:val="20"/>
          <w:szCs w:val="20"/>
        </w:rPr>
        <w:t xml:space="preserve">A detailed inventory per country can be </w:t>
      </w:r>
      <w:r w:rsidR="005F4667">
        <w:rPr>
          <w:rFonts w:ascii="Georgia" w:hAnsi="Georgia"/>
          <w:i/>
          <w:iCs/>
          <w:sz w:val="20"/>
          <w:szCs w:val="20"/>
        </w:rPr>
        <w:t>developed and included in an online version</w:t>
      </w:r>
      <w:r w:rsidRPr="00B466A5">
        <w:rPr>
          <w:rFonts w:ascii="Georgia" w:hAnsi="Georgia"/>
          <w:i/>
          <w:iCs/>
          <w:sz w:val="20"/>
          <w:szCs w:val="20"/>
        </w:rPr>
        <w:t>.</w:t>
      </w:r>
    </w:p>
    <w:p w14:paraId="510B5CC3" w14:textId="60C64FDD" w:rsidR="001A4598" w:rsidRDefault="001A4598" w:rsidP="001A4598">
      <w:pPr>
        <w:spacing w:line="276" w:lineRule="auto"/>
        <w:rPr>
          <w:rFonts w:ascii="Georgia" w:hAnsi="Georgia"/>
          <w:sz w:val="20"/>
          <w:szCs w:val="20"/>
        </w:rPr>
      </w:pPr>
      <w:r>
        <w:rPr>
          <w:rFonts w:ascii="Georgia" w:hAnsi="Georgia"/>
          <w:noProof/>
          <w:sz w:val="20"/>
          <w:szCs w:val="22"/>
          <w:lang w:val="en-GB"/>
        </w:rPr>
        <w:lastRenderedPageBreak/>
        <w:drawing>
          <wp:inline distT="0" distB="0" distL="0" distR="0" wp14:anchorId="4C59A9D4" wp14:editId="66DC1427">
            <wp:extent cx="5930900" cy="4822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6863" cy="4851561"/>
                    </a:xfrm>
                    <a:prstGeom prst="rect">
                      <a:avLst/>
                    </a:prstGeom>
                    <a:noFill/>
                    <a:ln>
                      <a:noFill/>
                    </a:ln>
                  </pic:spPr>
                </pic:pic>
              </a:graphicData>
            </a:graphic>
          </wp:inline>
        </w:drawing>
      </w:r>
      <w:r w:rsidRPr="001A4598">
        <w:rPr>
          <w:noProof/>
        </w:rPr>
        <w:t xml:space="preserve"> </w:t>
      </w:r>
    </w:p>
    <w:p w14:paraId="28C47D0A" w14:textId="23FE13FB" w:rsidR="001A4598" w:rsidRPr="00365C52" w:rsidRDefault="001A4598" w:rsidP="001A4598">
      <w:pPr>
        <w:spacing w:line="276" w:lineRule="auto"/>
        <w:rPr>
          <w:rFonts w:ascii="Georgia" w:hAnsi="Georgia"/>
          <w:sz w:val="16"/>
          <w:szCs w:val="16"/>
        </w:rPr>
      </w:pPr>
      <w:r w:rsidRPr="00365C52">
        <w:rPr>
          <w:rFonts w:ascii="Georgia" w:hAnsi="Georgia"/>
          <w:b/>
          <w:bCs/>
          <w:sz w:val="16"/>
          <w:szCs w:val="16"/>
        </w:rPr>
        <w:t xml:space="preserve">Figure </w:t>
      </w:r>
      <w:r>
        <w:rPr>
          <w:rFonts w:ascii="Georgia" w:hAnsi="Georgia"/>
          <w:b/>
          <w:bCs/>
          <w:sz w:val="16"/>
          <w:szCs w:val="16"/>
        </w:rPr>
        <w:t>1</w:t>
      </w:r>
      <w:r w:rsidRPr="00365C52">
        <w:rPr>
          <w:rFonts w:ascii="Georgia" w:hAnsi="Georgia"/>
          <w:b/>
          <w:bCs/>
          <w:sz w:val="16"/>
          <w:szCs w:val="16"/>
        </w:rPr>
        <w:t>.</w:t>
      </w:r>
      <w:r w:rsidRPr="00365C52">
        <w:rPr>
          <w:rFonts w:ascii="Georgia" w:hAnsi="Georgia"/>
          <w:sz w:val="16"/>
          <w:szCs w:val="16"/>
        </w:rPr>
        <w:t xml:space="preserve"> Wind farms </w:t>
      </w:r>
      <w:r w:rsidR="005F4667">
        <w:rPr>
          <w:rFonts w:ascii="Georgia" w:hAnsi="Georgia"/>
          <w:sz w:val="16"/>
          <w:szCs w:val="16"/>
        </w:rPr>
        <w:t xml:space="preserve">(operating and planned) </w:t>
      </w:r>
      <w:r w:rsidRPr="00365C52">
        <w:rPr>
          <w:rFonts w:ascii="Georgia" w:hAnsi="Georgia"/>
          <w:sz w:val="16"/>
          <w:szCs w:val="16"/>
        </w:rPr>
        <w:t>in the Netherlands, Germany and Denmark</w:t>
      </w:r>
      <w:r>
        <w:rPr>
          <w:rFonts w:ascii="Georgia" w:hAnsi="Georgia"/>
          <w:sz w:val="16"/>
          <w:szCs w:val="16"/>
        </w:rPr>
        <w:t xml:space="preserve"> and high voltage cables in blue.</w:t>
      </w:r>
      <w:r w:rsidR="005F4667">
        <w:rPr>
          <w:rFonts w:ascii="Georgia" w:hAnsi="Georgia"/>
          <w:sz w:val="16"/>
          <w:szCs w:val="16"/>
        </w:rPr>
        <w:t xml:space="preserve"> LEGEND NEEDS TO BE INCLUDED.</w:t>
      </w:r>
    </w:p>
    <w:p w14:paraId="7413D9F4" w14:textId="77777777" w:rsidR="001A4598" w:rsidRDefault="001A4598" w:rsidP="004F46FF">
      <w:pPr>
        <w:autoSpaceDE w:val="0"/>
        <w:autoSpaceDN w:val="0"/>
        <w:adjustRightInd w:val="0"/>
        <w:rPr>
          <w:rFonts w:ascii="Georgia" w:eastAsiaTheme="minorHAnsi" w:hAnsi="Georgia" w:cs="RotisSansSerif"/>
          <w:i/>
          <w:iCs/>
          <w:sz w:val="20"/>
          <w:szCs w:val="20"/>
          <w:u w:val="single"/>
        </w:rPr>
      </w:pPr>
    </w:p>
    <w:p w14:paraId="05764DF7" w14:textId="11BC5F06" w:rsidR="001A4598" w:rsidRDefault="001A4598" w:rsidP="004F46FF">
      <w:pPr>
        <w:autoSpaceDE w:val="0"/>
        <w:autoSpaceDN w:val="0"/>
        <w:adjustRightInd w:val="0"/>
        <w:rPr>
          <w:rFonts w:ascii="Georgia" w:eastAsiaTheme="minorHAnsi" w:hAnsi="Georgia" w:cs="RotisSansSerif"/>
          <w:i/>
          <w:iCs/>
          <w:sz w:val="20"/>
          <w:szCs w:val="20"/>
          <w:u w:val="single"/>
        </w:rPr>
      </w:pPr>
    </w:p>
    <w:p w14:paraId="7A6CB9BF" w14:textId="21B79693" w:rsidR="00F55AD6" w:rsidRPr="00F55AD6" w:rsidRDefault="00F55AD6" w:rsidP="004F46FF">
      <w:pPr>
        <w:autoSpaceDE w:val="0"/>
        <w:autoSpaceDN w:val="0"/>
        <w:adjustRightInd w:val="0"/>
        <w:rPr>
          <w:rFonts w:ascii="Georgia" w:eastAsiaTheme="minorHAnsi" w:hAnsi="Georgia" w:cs="RotisSansSerif"/>
          <w:i/>
          <w:iCs/>
          <w:sz w:val="20"/>
          <w:szCs w:val="20"/>
          <w:u w:val="single"/>
        </w:rPr>
      </w:pPr>
      <w:r w:rsidRPr="00F55AD6">
        <w:rPr>
          <w:rFonts w:ascii="Georgia" w:eastAsiaTheme="minorHAnsi" w:hAnsi="Georgia" w:cs="RotisSansSerif"/>
          <w:i/>
          <w:iCs/>
          <w:sz w:val="20"/>
          <w:szCs w:val="20"/>
          <w:u w:val="single"/>
        </w:rPr>
        <w:t>Common ground</w:t>
      </w:r>
    </w:p>
    <w:p w14:paraId="0C3F2373" w14:textId="5E167D52" w:rsidR="004F46FF" w:rsidRPr="00F55AD6" w:rsidRDefault="004F46FF" w:rsidP="004F46FF">
      <w:pPr>
        <w:autoSpaceDE w:val="0"/>
        <w:autoSpaceDN w:val="0"/>
        <w:adjustRightInd w:val="0"/>
        <w:rPr>
          <w:rFonts w:ascii="Georgia" w:eastAsiaTheme="minorHAnsi" w:hAnsi="Georgia" w:cs="RotisSansSerif"/>
          <w:sz w:val="20"/>
          <w:szCs w:val="20"/>
        </w:rPr>
      </w:pPr>
      <w:r w:rsidRPr="00F55AD6">
        <w:rPr>
          <w:rFonts w:ascii="Georgia" w:eastAsiaTheme="minorHAnsi" w:hAnsi="Georgia" w:cs="RotisSansSerif"/>
          <w:sz w:val="20"/>
          <w:szCs w:val="20"/>
        </w:rPr>
        <w:t>The Wadden Sea Plan 2010 states the</w:t>
      </w:r>
      <w:r w:rsidR="00EA070D">
        <w:rPr>
          <w:rFonts w:ascii="Georgia" w:eastAsiaTheme="minorHAnsi" w:hAnsi="Georgia" w:cs="RotisSansSerif"/>
          <w:sz w:val="20"/>
          <w:szCs w:val="20"/>
        </w:rPr>
        <w:t xml:space="preserve"> trilateral</w:t>
      </w:r>
      <w:r w:rsidRPr="00F55AD6">
        <w:rPr>
          <w:rFonts w:ascii="Georgia" w:eastAsiaTheme="minorHAnsi" w:hAnsi="Georgia" w:cs="RotisSansSerif"/>
          <w:sz w:val="20"/>
          <w:szCs w:val="20"/>
        </w:rPr>
        <w:t xml:space="preserve"> agreements:</w:t>
      </w:r>
    </w:p>
    <w:p w14:paraId="502C6815" w14:textId="21735536" w:rsidR="004F46FF" w:rsidRPr="00F55AD6" w:rsidRDefault="00B870FA" w:rsidP="004F46FF">
      <w:pPr>
        <w:pStyle w:val="Listenabsatz"/>
        <w:numPr>
          <w:ilvl w:val="0"/>
          <w:numId w:val="3"/>
        </w:numPr>
        <w:autoSpaceDE w:val="0"/>
        <w:autoSpaceDN w:val="0"/>
        <w:adjustRightInd w:val="0"/>
        <w:rPr>
          <w:rFonts w:ascii="Georgia" w:eastAsiaTheme="minorHAnsi" w:hAnsi="Georgia" w:cs="RotisSansSerif"/>
          <w:sz w:val="20"/>
          <w:szCs w:val="20"/>
          <w:lang w:val="en-GB"/>
        </w:rPr>
      </w:pPr>
      <w:r>
        <w:rPr>
          <w:rFonts w:ascii="Georgia" w:eastAsiaTheme="minorHAnsi" w:hAnsi="Georgia" w:cs="RotisSansSerif"/>
          <w:sz w:val="20"/>
          <w:szCs w:val="20"/>
        </w:rPr>
        <w:t>T</w:t>
      </w:r>
      <w:r w:rsidR="004F46FF" w:rsidRPr="00F55AD6">
        <w:rPr>
          <w:rFonts w:ascii="Georgia" w:eastAsiaTheme="minorHAnsi" w:hAnsi="Georgia" w:cs="RotisSansSerif"/>
          <w:sz w:val="20"/>
          <w:szCs w:val="20"/>
          <w:lang w:val="en-GB"/>
        </w:rPr>
        <w:t>he construction of wind turbines in the Nature Conservation Area is prohibited</w:t>
      </w:r>
      <w:r w:rsidR="00F55AD6" w:rsidRPr="00F55AD6">
        <w:rPr>
          <w:rFonts w:ascii="Georgia" w:eastAsiaTheme="minorHAnsi" w:hAnsi="Georgia" w:cs="RotisSansSerif"/>
          <w:sz w:val="20"/>
          <w:szCs w:val="20"/>
          <w:lang w:val="en-GB"/>
        </w:rPr>
        <w:t xml:space="preserve"> (</w:t>
      </w:r>
      <w:r w:rsidR="00F55AD6" w:rsidRPr="00F55AD6">
        <w:rPr>
          <w:rFonts w:ascii="Georgia" w:hAnsi="Georgia"/>
          <w:i/>
          <w:iCs/>
          <w:sz w:val="20"/>
          <w:szCs w:val="20"/>
        </w:rPr>
        <w:t>the Wadden Sea World Heritage property)</w:t>
      </w:r>
      <w:r w:rsidR="004F46FF" w:rsidRPr="00F55AD6">
        <w:rPr>
          <w:rFonts w:ascii="Georgia" w:eastAsiaTheme="minorHAnsi" w:hAnsi="Georgia" w:cs="RotisSansSerif"/>
          <w:sz w:val="20"/>
          <w:szCs w:val="20"/>
          <w:lang w:val="en-GB"/>
        </w:rPr>
        <w:t>.</w:t>
      </w:r>
    </w:p>
    <w:p w14:paraId="378F0E8E" w14:textId="5CD81D56" w:rsidR="004F46FF" w:rsidRDefault="00B870FA" w:rsidP="008A7612">
      <w:pPr>
        <w:pStyle w:val="Listenabsatz"/>
        <w:numPr>
          <w:ilvl w:val="0"/>
          <w:numId w:val="3"/>
        </w:numPr>
        <w:autoSpaceDE w:val="0"/>
        <w:autoSpaceDN w:val="0"/>
        <w:adjustRightInd w:val="0"/>
        <w:rPr>
          <w:rFonts w:ascii="Georgia" w:eastAsiaTheme="minorHAnsi" w:hAnsi="Georgia" w:cs="RotisSansSerif"/>
          <w:sz w:val="20"/>
          <w:szCs w:val="20"/>
          <w:lang w:val="en-GB"/>
        </w:rPr>
      </w:pPr>
      <w:r>
        <w:rPr>
          <w:rFonts w:ascii="Georgia" w:eastAsiaTheme="minorHAnsi" w:hAnsi="Georgia" w:cs="RotisSansSerif"/>
          <w:sz w:val="20"/>
          <w:szCs w:val="20"/>
          <w:lang w:val="en-GB"/>
        </w:rPr>
        <w:t>T</w:t>
      </w:r>
      <w:r w:rsidR="004F46FF" w:rsidRPr="00F55AD6">
        <w:rPr>
          <w:rFonts w:ascii="Georgia" w:eastAsiaTheme="minorHAnsi" w:hAnsi="Georgia" w:cs="RotisSansSerif"/>
          <w:sz w:val="20"/>
          <w:szCs w:val="20"/>
          <w:lang w:val="en-GB"/>
        </w:rPr>
        <w:t>he construction of wind turbines, in the Wadden Sea Area outside the Nature Conservation</w:t>
      </w:r>
      <w:r w:rsidR="00F55AD6" w:rsidRPr="00F55AD6">
        <w:rPr>
          <w:rFonts w:ascii="Georgia" w:eastAsiaTheme="minorHAnsi" w:hAnsi="Georgia" w:cs="RotisSansSerif"/>
          <w:sz w:val="20"/>
          <w:szCs w:val="20"/>
          <w:lang w:val="en-GB"/>
        </w:rPr>
        <w:t xml:space="preserve"> </w:t>
      </w:r>
      <w:r w:rsidR="004F46FF" w:rsidRPr="00F55AD6">
        <w:rPr>
          <w:rFonts w:ascii="Georgia" w:eastAsiaTheme="minorHAnsi" w:hAnsi="Georgia" w:cs="RotisSansSerif"/>
          <w:sz w:val="20"/>
          <w:szCs w:val="20"/>
          <w:lang w:val="en-GB"/>
        </w:rPr>
        <w:t>Area</w:t>
      </w:r>
      <w:r w:rsidR="00F55AD6" w:rsidRPr="00F55AD6">
        <w:rPr>
          <w:rFonts w:ascii="Georgia" w:eastAsiaTheme="minorHAnsi" w:hAnsi="Georgia" w:cs="RotisSansSerif"/>
          <w:sz w:val="20"/>
          <w:szCs w:val="20"/>
          <w:lang w:val="en-GB"/>
        </w:rPr>
        <w:t xml:space="preserve"> (WSWH)</w:t>
      </w:r>
      <w:r w:rsidR="004F46FF" w:rsidRPr="00F55AD6">
        <w:rPr>
          <w:rFonts w:ascii="Georgia" w:eastAsiaTheme="minorHAnsi" w:hAnsi="Georgia" w:cs="RotisSansSerif"/>
          <w:sz w:val="20"/>
          <w:szCs w:val="20"/>
          <w:lang w:val="en-GB"/>
        </w:rPr>
        <w:t xml:space="preserve"> is only allowed, if important ecological and landscape values are not negatively affected</w:t>
      </w:r>
      <w:r w:rsidR="00F55AD6" w:rsidRPr="00F55AD6">
        <w:rPr>
          <w:rFonts w:ascii="Georgia" w:eastAsiaTheme="minorHAnsi" w:hAnsi="Georgia" w:cs="RotisSansSerif"/>
          <w:sz w:val="20"/>
          <w:szCs w:val="20"/>
          <w:lang w:val="en-GB"/>
        </w:rPr>
        <w:t xml:space="preserve"> (WSP, 2010)</w:t>
      </w:r>
      <w:r w:rsidR="004F46FF" w:rsidRPr="00F55AD6">
        <w:rPr>
          <w:rFonts w:ascii="Georgia" w:eastAsiaTheme="minorHAnsi" w:hAnsi="Georgia" w:cs="RotisSansSerif"/>
          <w:sz w:val="20"/>
          <w:szCs w:val="20"/>
          <w:lang w:val="en-GB"/>
        </w:rPr>
        <w:t>.</w:t>
      </w:r>
    </w:p>
    <w:p w14:paraId="6B4FEF52" w14:textId="40B7FDD1" w:rsidR="00EA070D" w:rsidRPr="00EA070D" w:rsidRDefault="00EA070D" w:rsidP="00AA1007">
      <w:pPr>
        <w:pStyle w:val="Listenabsatz"/>
        <w:numPr>
          <w:ilvl w:val="0"/>
          <w:numId w:val="3"/>
        </w:numPr>
        <w:autoSpaceDE w:val="0"/>
        <w:autoSpaceDN w:val="0"/>
        <w:adjustRightInd w:val="0"/>
        <w:rPr>
          <w:rFonts w:ascii="Georgia" w:eastAsiaTheme="minorHAnsi" w:hAnsi="Georgia" w:cs="RotisSansSerif"/>
          <w:sz w:val="20"/>
          <w:szCs w:val="20"/>
          <w:lang w:val="en-GB"/>
        </w:rPr>
      </w:pPr>
      <w:r w:rsidRPr="00EA070D">
        <w:rPr>
          <w:rFonts w:ascii="Georgia" w:eastAsiaTheme="minorHAnsi" w:hAnsi="Georgia" w:cs="RotisSansSerif"/>
          <w:sz w:val="20"/>
          <w:szCs w:val="20"/>
          <w:lang w:val="en-GB"/>
        </w:rPr>
        <w:t>To concentrate cable crossings through the Wadden Sea within a minimum of cable corridors and a minimum of cables using the best available techniques, e.g. cables with highest capacity available, and to communicate regularly on this item in order</w:t>
      </w:r>
      <w:r>
        <w:rPr>
          <w:rFonts w:ascii="Georgia" w:eastAsiaTheme="minorHAnsi" w:hAnsi="Georgia" w:cs="RotisSansSerif"/>
          <w:sz w:val="20"/>
          <w:szCs w:val="20"/>
          <w:lang w:val="en-GB"/>
        </w:rPr>
        <w:t xml:space="preserve"> </w:t>
      </w:r>
      <w:r w:rsidRPr="00EA070D">
        <w:rPr>
          <w:rFonts w:ascii="Georgia" w:eastAsiaTheme="minorHAnsi" w:hAnsi="Georgia" w:cs="RotisSansSerif"/>
          <w:sz w:val="20"/>
          <w:szCs w:val="20"/>
          <w:lang w:val="en-GB"/>
        </w:rPr>
        <w:t xml:space="preserve">to use synergies. </w:t>
      </w:r>
    </w:p>
    <w:p w14:paraId="2909790B" w14:textId="77777777" w:rsidR="004F46FF" w:rsidRDefault="004F46FF" w:rsidP="004F46FF">
      <w:pPr>
        <w:autoSpaceDE w:val="0"/>
        <w:autoSpaceDN w:val="0"/>
        <w:adjustRightInd w:val="0"/>
        <w:rPr>
          <w:rFonts w:ascii="RotisSansSerif" w:eastAsiaTheme="minorHAnsi" w:hAnsi="RotisSansSerif" w:cs="RotisSansSerif"/>
          <w:sz w:val="20"/>
          <w:szCs w:val="20"/>
          <w:lang w:val="en-GB"/>
        </w:rPr>
      </w:pPr>
    </w:p>
    <w:p w14:paraId="64AA2022" w14:textId="296B6904" w:rsidR="000254CE" w:rsidRDefault="004F46FF" w:rsidP="004F46FF">
      <w:pPr>
        <w:spacing w:after="200" w:line="276" w:lineRule="auto"/>
        <w:rPr>
          <w:rFonts w:ascii="Georgia" w:hAnsi="Georgia"/>
          <w:sz w:val="20"/>
          <w:szCs w:val="20"/>
        </w:rPr>
      </w:pPr>
      <w:r>
        <w:rPr>
          <w:rFonts w:ascii="Georgia" w:hAnsi="Georgia"/>
          <w:sz w:val="20"/>
          <w:szCs w:val="20"/>
          <w:lang w:val="en-GB"/>
        </w:rPr>
        <w:t>These agreements are backed up by</w:t>
      </w:r>
      <w:r w:rsidR="000254CE" w:rsidRPr="00F55AD6">
        <w:rPr>
          <w:rFonts w:ascii="Georgia" w:hAnsi="Georgia"/>
          <w:sz w:val="20"/>
          <w:szCs w:val="20"/>
          <w:lang w:val="en-GB"/>
        </w:rPr>
        <w:t xml:space="preserve"> law in the three countries</w:t>
      </w:r>
      <w:r w:rsidR="000254CE">
        <w:rPr>
          <w:rFonts w:ascii="Georgia" w:hAnsi="Georgia"/>
          <w:sz w:val="20"/>
          <w:szCs w:val="20"/>
        </w:rPr>
        <w:t xml:space="preserve"> </w:t>
      </w:r>
      <w:r w:rsidR="00F55AD6">
        <w:rPr>
          <w:rFonts w:ascii="Georgia" w:hAnsi="Georgia"/>
          <w:sz w:val="20"/>
          <w:szCs w:val="20"/>
        </w:rPr>
        <w:t>(Table 1</w:t>
      </w:r>
      <w:r w:rsidR="000254CE" w:rsidRPr="007F7201">
        <w:rPr>
          <w:rFonts w:ascii="Georgia" w:hAnsi="Georgia"/>
          <w:sz w:val="20"/>
          <w:szCs w:val="20"/>
        </w:rPr>
        <w:t>).</w:t>
      </w:r>
      <w:r w:rsidR="000254CE">
        <w:rPr>
          <w:rFonts w:ascii="Georgia" w:hAnsi="Georgia"/>
          <w:sz w:val="20"/>
          <w:szCs w:val="20"/>
        </w:rPr>
        <w:t xml:space="preserve"> Nonetheless, the associated cable laying and connections to the mainland occur through the WSWH property.</w:t>
      </w:r>
    </w:p>
    <w:p w14:paraId="18A88B55" w14:textId="16AC3F9D" w:rsidR="00B466A5" w:rsidRDefault="00B466A5" w:rsidP="004F46FF">
      <w:pPr>
        <w:spacing w:after="200" w:line="276" w:lineRule="auto"/>
        <w:rPr>
          <w:rFonts w:ascii="Georgia" w:hAnsi="Georgia"/>
          <w:sz w:val="20"/>
          <w:szCs w:val="20"/>
        </w:rPr>
      </w:pPr>
    </w:p>
    <w:p w14:paraId="69112646" w14:textId="51F64D21" w:rsidR="00964692" w:rsidRDefault="00964692" w:rsidP="004F46FF">
      <w:pPr>
        <w:spacing w:after="200" w:line="276" w:lineRule="auto"/>
        <w:rPr>
          <w:rFonts w:ascii="Georgia" w:hAnsi="Georgia"/>
          <w:sz w:val="20"/>
          <w:szCs w:val="20"/>
        </w:rPr>
      </w:pPr>
    </w:p>
    <w:p w14:paraId="70F9D4EF" w14:textId="3B6ACEE2" w:rsidR="00964692" w:rsidRDefault="00964692" w:rsidP="004F46FF">
      <w:pPr>
        <w:spacing w:after="200" w:line="276" w:lineRule="auto"/>
        <w:rPr>
          <w:rFonts w:ascii="Georgia" w:hAnsi="Georgia"/>
          <w:sz w:val="20"/>
          <w:szCs w:val="20"/>
        </w:rPr>
      </w:pPr>
    </w:p>
    <w:p w14:paraId="0B8F89E6" w14:textId="77777777" w:rsidR="00964692" w:rsidRDefault="00964692" w:rsidP="004F46FF">
      <w:pPr>
        <w:spacing w:after="200" w:line="276" w:lineRule="auto"/>
        <w:rPr>
          <w:rFonts w:ascii="Georgia" w:hAnsi="Georgia"/>
          <w:sz w:val="20"/>
          <w:szCs w:val="20"/>
        </w:rPr>
      </w:pPr>
    </w:p>
    <w:p w14:paraId="791AD6CB" w14:textId="664AC2C2" w:rsidR="00F55AD6" w:rsidRPr="00365C52" w:rsidRDefault="00F55AD6" w:rsidP="00F55AD6">
      <w:pPr>
        <w:spacing w:line="276" w:lineRule="auto"/>
        <w:rPr>
          <w:rFonts w:ascii="Georgia" w:hAnsi="Georgia"/>
          <w:sz w:val="16"/>
          <w:szCs w:val="16"/>
        </w:rPr>
      </w:pPr>
      <w:r w:rsidRPr="00365C52">
        <w:rPr>
          <w:rFonts w:ascii="Georgia" w:hAnsi="Georgia"/>
          <w:b/>
          <w:bCs/>
          <w:sz w:val="16"/>
          <w:szCs w:val="16"/>
        </w:rPr>
        <w:lastRenderedPageBreak/>
        <w:t>Table 1.</w:t>
      </w:r>
      <w:r w:rsidRPr="00365C52">
        <w:rPr>
          <w:rFonts w:ascii="Georgia" w:hAnsi="Georgia"/>
          <w:sz w:val="16"/>
          <w:szCs w:val="16"/>
        </w:rPr>
        <w:t xml:space="preserve"> A. Legal framework that prohibits the development of windfarms in the Netherlands, Denmark and the three German Federal States. B. National policies that support the energy transition to renewable sources. C. Relevant enterprises running windfarms adjacent to the WSWH/laying cables underneath the WSWH.</w:t>
      </w:r>
      <w:r>
        <w:rPr>
          <w:rFonts w:ascii="Georgia" w:hAnsi="Georgia"/>
          <w:sz w:val="16"/>
          <w:szCs w:val="16"/>
        </w:rPr>
        <w:t xml:space="preserve"> Source </w:t>
      </w:r>
      <w:r w:rsidRPr="00F55AD6">
        <w:rPr>
          <w:rFonts w:ascii="Georgia" w:hAnsi="Georgia"/>
          <w:sz w:val="16"/>
          <w:szCs w:val="16"/>
        </w:rPr>
        <w:t>QSR: Energy, 2017</w:t>
      </w:r>
      <w:r w:rsidR="00CC7A53">
        <w:rPr>
          <w:rFonts w:ascii="Georgia" w:hAnsi="Georgia"/>
          <w:sz w:val="16"/>
          <w:szCs w:val="16"/>
        </w:rPr>
        <w:t>; Nomination Dossier, 2012</w:t>
      </w:r>
      <w:r>
        <w:rPr>
          <w:rFonts w:ascii="Georgia" w:hAnsi="Georgia"/>
          <w:sz w:val="16"/>
          <w:szCs w:val="16"/>
        </w:rPr>
        <w:t>.</w:t>
      </w:r>
    </w:p>
    <w:tbl>
      <w:tblPr>
        <w:tblStyle w:val="Gitternetztabelle5dunkelAkzent5"/>
        <w:tblW w:w="0" w:type="auto"/>
        <w:tblLayout w:type="fixed"/>
        <w:tblLook w:val="04A0" w:firstRow="1" w:lastRow="0" w:firstColumn="1" w:lastColumn="0" w:noHBand="0" w:noVBand="1"/>
      </w:tblPr>
      <w:tblGrid>
        <w:gridCol w:w="1996"/>
        <w:gridCol w:w="2223"/>
        <w:gridCol w:w="2552"/>
        <w:gridCol w:w="1984"/>
      </w:tblGrid>
      <w:tr w:rsidR="00F55AD6" w:rsidRPr="00A739B9" w14:paraId="4071B7F9" w14:textId="77777777" w:rsidTr="00CF2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15AF30FF" w14:textId="77777777" w:rsidR="00F55AD6" w:rsidRPr="00A739B9" w:rsidRDefault="00F55AD6" w:rsidP="00E31957">
            <w:pPr>
              <w:tabs>
                <w:tab w:val="right" w:pos="9639"/>
              </w:tabs>
              <w:spacing w:line="276" w:lineRule="auto"/>
              <w:jc w:val="center"/>
              <w:rPr>
                <w:rFonts w:ascii="Georgia" w:hAnsi="Georgia"/>
                <w:sz w:val="16"/>
                <w:szCs w:val="16"/>
              </w:rPr>
            </w:pPr>
          </w:p>
        </w:tc>
        <w:tc>
          <w:tcPr>
            <w:tcW w:w="2223" w:type="dxa"/>
          </w:tcPr>
          <w:p w14:paraId="7CF754DD" w14:textId="77777777" w:rsidR="00F55AD6" w:rsidRPr="00A739B9" w:rsidRDefault="00F55AD6" w:rsidP="00E31957">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 xml:space="preserve">Legal </w:t>
            </w:r>
            <w:r>
              <w:rPr>
                <w:rFonts w:ascii="Georgia" w:hAnsi="Georgia"/>
                <w:sz w:val="16"/>
                <w:szCs w:val="16"/>
              </w:rPr>
              <w:t>framework</w:t>
            </w:r>
            <w:r w:rsidRPr="00A739B9">
              <w:rPr>
                <w:rFonts w:ascii="Georgia" w:hAnsi="Georgia"/>
                <w:sz w:val="16"/>
                <w:szCs w:val="16"/>
              </w:rPr>
              <w:t xml:space="preserve"> to prohibit development of windfarms within the WS</w:t>
            </w:r>
          </w:p>
        </w:tc>
        <w:tc>
          <w:tcPr>
            <w:tcW w:w="2552" w:type="dxa"/>
          </w:tcPr>
          <w:p w14:paraId="377FA543" w14:textId="77777777" w:rsidR="00F55AD6" w:rsidRPr="00A739B9" w:rsidRDefault="00F55AD6" w:rsidP="00E31957">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Policy to promote renewable energy</w:t>
            </w:r>
          </w:p>
        </w:tc>
        <w:tc>
          <w:tcPr>
            <w:tcW w:w="1984" w:type="dxa"/>
          </w:tcPr>
          <w:p w14:paraId="36F3C24C" w14:textId="152FC1EA" w:rsidR="00F55AD6" w:rsidRPr="00A739B9" w:rsidRDefault="00CF2D42" w:rsidP="00E31957">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Pr>
                <w:rFonts w:ascii="Georgia" w:hAnsi="Georgia"/>
                <w:sz w:val="16"/>
                <w:szCs w:val="16"/>
              </w:rPr>
              <w:t>International l</w:t>
            </w:r>
            <w:r w:rsidR="00CC7A53" w:rsidRPr="00A739B9">
              <w:rPr>
                <w:rFonts w:ascii="Georgia" w:hAnsi="Georgia"/>
                <w:sz w:val="16"/>
                <w:szCs w:val="16"/>
              </w:rPr>
              <w:t xml:space="preserve">egal </w:t>
            </w:r>
            <w:r w:rsidR="00CC7A53">
              <w:rPr>
                <w:rFonts w:ascii="Georgia" w:hAnsi="Georgia"/>
                <w:sz w:val="16"/>
                <w:szCs w:val="16"/>
              </w:rPr>
              <w:t>framework</w:t>
            </w:r>
            <w:r w:rsidR="00CC7A53" w:rsidRPr="00A739B9">
              <w:rPr>
                <w:rFonts w:ascii="Georgia" w:hAnsi="Georgia"/>
                <w:sz w:val="16"/>
                <w:szCs w:val="16"/>
              </w:rPr>
              <w:t xml:space="preserve"> to</w:t>
            </w:r>
            <w:r>
              <w:rPr>
                <w:rFonts w:ascii="Georgia" w:hAnsi="Georgia"/>
                <w:sz w:val="16"/>
                <w:szCs w:val="16"/>
              </w:rPr>
              <w:t xml:space="preserve"> regulate construction</w:t>
            </w:r>
          </w:p>
        </w:tc>
      </w:tr>
      <w:tr w:rsidR="00F55AD6" w:rsidRPr="00A739B9" w14:paraId="675112D0" w14:textId="77777777" w:rsidTr="00CF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65ABA78B" w14:textId="77777777" w:rsidR="00F55AD6" w:rsidRPr="00A739B9" w:rsidRDefault="00F55AD6" w:rsidP="00E31957">
            <w:pPr>
              <w:tabs>
                <w:tab w:val="right" w:pos="9639"/>
              </w:tabs>
              <w:spacing w:line="276" w:lineRule="auto"/>
              <w:rPr>
                <w:rFonts w:ascii="Georgia" w:hAnsi="Georgia"/>
                <w:sz w:val="16"/>
                <w:szCs w:val="16"/>
              </w:rPr>
            </w:pPr>
            <w:r w:rsidRPr="00A739B9">
              <w:rPr>
                <w:rFonts w:ascii="Georgia" w:hAnsi="Georgia"/>
                <w:sz w:val="16"/>
                <w:szCs w:val="16"/>
              </w:rPr>
              <w:t xml:space="preserve">Wadden Sea World Heritage property in… </w:t>
            </w:r>
          </w:p>
        </w:tc>
        <w:tc>
          <w:tcPr>
            <w:tcW w:w="2223" w:type="dxa"/>
          </w:tcPr>
          <w:p w14:paraId="05476268"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2552" w:type="dxa"/>
          </w:tcPr>
          <w:p w14:paraId="1E96DA45"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1984" w:type="dxa"/>
          </w:tcPr>
          <w:p w14:paraId="1C403C2C"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r>
      <w:tr w:rsidR="00F55AD6" w:rsidRPr="00A739B9" w14:paraId="701EE0C9" w14:textId="77777777" w:rsidTr="00CF2D42">
        <w:trPr>
          <w:trHeight w:val="558"/>
        </w:trPr>
        <w:tc>
          <w:tcPr>
            <w:cnfStyle w:val="001000000000" w:firstRow="0" w:lastRow="0" w:firstColumn="1" w:lastColumn="0" w:oddVBand="0" w:evenVBand="0" w:oddHBand="0" w:evenHBand="0" w:firstRowFirstColumn="0" w:firstRowLastColumn="0" w:lastRowFirstColumn="0" w:lastRowLastColumn="0"/>
            <w:tcW w:w="1996" w:type="dxa"/>
          </w:tcPr>
          <w:p w14:paraId="2C4BA38F"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 xml:space="preserve">…the Netherlands </w:t>
            </w:r>
          </w:p>
        </w:tc>
        <w:tc>
          <w:tcPr>
            <w:tcW w:w="2223" w:type="dxa"/>
          </w:tcPr>
          <w:p w14:paraId="6CCE714C" w14:textId="77777777" w:rsidR="00F55AD6" w:rsidRPr="00A739B9" w:rsidRDefault="00F55AD6" w:rsidP="00E31957">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Dutch Conservation Area (PKB Area)</w:t>
            </w:r>
          </w:p>
        </w:tc>
        <w:tc>
          <w:tcPr>
            <w:tcW w:w="2552" w:type="dxa"/>
          </w:tcPr>
          <w:p w14:paraId="6A9FA315" w14:textId="77777777" w:rsidR="00F55AD6"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Energy Agreement for Sustainable Growth</w:t>
            </w:r>
          </w:p>
          <w:p w14:paraId="46DD7455" w14:textId="642EF8A2" w:rsidR="00CC58C8" w:rsidRPr="00A739B9" w:rsidRDefault="00CC58C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CC58C8">
              <w:rPr>
                <w:rFonts w:ascii="Georgia" w:hAnsi="Georgia"/>
                <w:sz w:val="16"/>
                <w:szCs w:val="16"/>
              </w:rPr>
              <w:t>National Energy and Climate Plan (NECP)</w:t>
            </w:r>
            <w:r w:rsidR="003238F5">
              <w:rPr>
                <w:rFonts w:ascii="Georgia" w:hAnsi="Georgia"/>
                <w:sz w:val="16"/>
                <w:szCs w:val="16"/>
              </w:rPr>
              <w:t>*</w:t>
            </w:r>
          </w:p>
        </w:tc>
        <w:tc>
          <w:tcPr>
            <w:tcW w:w="1984" w:type="dxa"/>
          </w:tcPr>
          <w:p w14:paraId="38C4C74F" w14:textId="655148AB" w:rsidR="00F55AD6" w:rsidRPr="00A739B9" w:rsidRDefault="00CF2D42"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CF2D42">
              <w:rPr>
                <w:rFonts w:ascii="Georgia" w:hAnsi="Georgia"/>
                <w:sz w:val="16"/>
                <w:szCs w:val="16"/>
              </w:rPr>
              <w:t>Habitat</w:t>
            </w:r>
            <w:r w:rsidR="005F4667">
              <w:rPr>
                <w:rFonts w:ascii="Georgia" w:hAnsi="Georgia"/>
                <w:sz w:val="16"/>
                <w:szCs w:val="16"/>
              </w:rPr>
              <w:t>s</w:t>
            </w:r>
            <w:r w:rsidRPr="00CF2D42">
              <w:rPr>
                <w:rFonts w:ascii="Georgia" w:hAnsi="Georgia"/>
                <w:sz w:val="16"/>
                <w:szCs w:val="16"/>
              </w:rPr>
              <w:t xml:space="preserve"> Directive</w:t>
            </w:r>
            <w:r>
              <w:rPr>
                <w:rFonts w:ascii="Georgia" w:hAnsi="Georgia"/>
                <w:sz w:val="16"/>
                <w:szCs w:val="16"/>
              </w:rPr>
              <w:t xml:space="preserve"> ++</w:t>
            </w:r>
          </w:p>
        </w:tc>
      </w:tr>
      <w:tr w:rsidR="00F55AD6" w:rsidRPr="00A739B9" w14:paraId="67879841" w14:textId="77777777" w:rsidTr="00CF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6BA27CF9"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Germany</w:t>
            </w:r>
          </w:p>
        </w:tc>
        <w:tc>
          <w:tcPr>
            <w:tcW w:w="2223" w:type="dxa"/>
          </w:tcPr>
          <w:p w14:paraId="53A14355" w14:textId="77777777" w:rsidR="00F55AD6" w:rsidRPr="00A739B9" w:rsidRDefault="00F55AD6" w:rsidP="00E31957">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2552" w:type="dxa"/>
          </w:tcPr>
          <w:p w14:paraId="6CA0FCDA"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A739B9">
              <w:rPr>
                <w:rFonts w:ascii="Georgia" w:hAnsi="Georgia"/>
                <w:sz w:val="16"/>
                <w:szCs w:val="16"/>
              </w:rPr>
              <w:t>Renewable Energy Sources Act (RES-Act)</w:t>
            </w:r>
          </w:p>
        </w:tc>
        <w:tc>
          <w:tcPr>
            <w:tcW w:w="1984" w:type="dxa"/>
          </w:tcPr>
          <w:p w14:paraId="77112364" w14:textId="0746B783" w:rsidR="00F55AD6" w:rsidRPr="00A739B9" w:rsidRDefault="005F4667"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CF2D42">
              <w:rPr>
                <w:rFonts w:ascii="Georgia" w:hAnsi="Georgia"/>
                <w:sz w:val="16"/>
                <w:szCs w:val="16"/>
              </w:rPr>
              <w:t>Habitat</w:t>
            </w:r>
            <w:r>
              <w:rPr>
                <w:rFonts w:ascii="Georgia" w:hAnsi="Georgia"/>
                <w:sz w:val="16"/>
                <w:szCs w:val="16"/>
              </w:rPr>
              <w:t>s</w:t>
            </w:r>
            <w:r w:rsidRPr="00CF2D42">
              <w:rPr>
                <w:rFonts w:ascii="Georgia" w:hAnsi="Georgia"/>
                <w:sz w:val="16"/>
                <w:szCs w:val="16"/>
              </w:rPr>
              <w:t xml:space="preserve"> Directive</w:t>
            </w:r>
            <w:r>
              <w:rPr>
                <w:rFonts w:ascii="Georgia" w:hAnsi="Georgia"/>
                <w:sz w:val="16"/>
                <w:szCs w:val="16"/>
              </w:rPr>
              <w:t xml:space="preserve"> ++</w:t>
            </w:r>
          </w:p>
        </w:tc>
      </w:tr>
      <w:tr w:rsidR="00F55AD6" w:rsidRPr="00A739B9" w14:paraId="017EBF57" w14:textId="77777777" w:rsidTr="00CF2D42">
        <w:tc>
          <w:tcPr>
            <w:cnfStyle w:val="001000000000" w:firstRow="0" w:lastRow="0" w:firstColumn="1" w:lastColumn="0" w:oddVBand="0" w:evenVBand="0" w:oddHBand="0" w:evenHBand="0" w:firstRowFirstColumn="0" w:firstRowLastColumn="0" w:lastRowFirstColumn="0" w:lastRowLastColumn="0"/>
            <w:tcW w:w="1996" w:type="dxa"/>
          </w:tcPr>
          <w:p w14:paraId="57E8E93A"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Lower Saxony</w:t>
            </w:r>
          </w:p>
        </w:tc>
        <w:tc>
          <w:tcPr>
            <w:tcW w:w="2223" w:type="dxa"/>
          </w:tcPr>
          <w:p w14:paraId="1D483A54"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National Park Act</w:t>
            </w:r>
          </w:p>
        </w:tc>
        <w:tc>
          <w:tcPr>
            <w:tcW w:w="2552" w:type="dxa"/>
          </w:tcPr>
          <w:p w14:paraId="76F25D56"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c>
          <w:tcPr>
            <w:tcW w:w="1984" w:type="dxa"/>
          </w:tcPr>
          <w:p w14:paraId="4AF3AE9E"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r>
      <w:tr w:rsidR="00F55AD6" w:rsidRPr="00A739B9" w14:paraId="1EF160EA" w14:textId="77777777" w:rsidTr="00CF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767F1B35"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Hamburg</w:t>
            </w:r>
          </w:p>
        </w:tc>
        <w:tc>
          <w:tcPr>
            <w:tcW w:w="2223" w:type="dxa"/>
          </w:tcPr>
          <w:p w14:paraId="0543BFB6"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A739B9">
              <w:rPr>
                <w:rFonts w:ascii="Georgia" w:hAnsi="Georgia"/>
                <w:sz w:val="16"/>
                <w:szCs w:val="16"/>
              </w:rPr>
              <w:t>National Park Act</w:t>
            </w:r>
          </w:p>
        </w:tc>
        <w:tc>
          <w:tcPr>
            <w:tcW w:w="2552" w:type="dxa"/>
          </w:tcPr>
          <w:p w14:paraId="131E6716"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1984" w:type="dxa"/>
          </w:tcPr>
          <w:p w14:paraId="106572CA"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r>
      <w:tr w:rsidR="00F55AD6" w:rsidRPr="00A739B9" w14:paraId="7A933F2E" w14:textId="77777777" w:rsidTr="00CF2D42">
        <w:tc>
          <w:tcPr>
            <w:cnfStyle w:val="001000000000" w:firstRow="0" w:lastRow="0" w:firstColumn="1" w:lastColumn="0" w:oddVBand="0" w:evenVBand="0" w:oddHBand="0" w:evenHBand="0" w:firstRowFirstColumn="0" w:firstRowLastColumn="0" w:lastRowFirstColumn="0" w:lastRowLastColumn="0"/>
            <w:tcW w:w="1996" w:type="dxa"/>
          </w:tcPr>
          <w:p w14:paraId="2D1FA6F5"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Schleswig-Holstein</w:t>
            </w:r>
          </w:p>
        </w:tc>
        <w:tc>
          <w:tcPr>
            <w:tcW w:w="2223" w:type="dxa"/>
          </w:tcPr>
          <w:p w14:paraId="3254D674"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A739B9">
              <w:rPr>
                <w:rFonts w:ascii="Georgia" w:hAnsi="Georgia"/>
                <w:sz w:val="16"/>
                <w:szCs w:val="16"/>
              </w:rPr>
              <w:t>National Park Act</w:t>
            </w:r>
          </w:p>
        </w:tc>
        <w:tc>
          <w:tcPr>
            <w:tcW w:w="2552" w:type="dxa"/>
          </w:tcPr>
          <w:p w14:paraId="7BB3E49F"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c>
          <w:tcPr>
            <w:tcW w:w="1984" w:type="dxa"/>
          </w:tcPr>
          <w:p w14:paraId="3F56A8B7" w14:textId="77777777" w:rsidR="00F55AD6" w:rsidRPr="00A739B9" w:rsidRDefault="00F55AD6"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r>
      <w:tr w:rsidR="00F55AD6" w:rsidRPr="00A739B9" w14:paraId="60914DB5" w14:textId="77777777" w:rsidTr="00CF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7DEBCB95" w14:textId="77777777" w:rsidR="00F55AD6" w:rsidRPr="00A739B9" w:rsidRDefault="00F55AD6" w:rsidP="00E31957">
            <w:pPr>
              <w:tabs>
                <w:tab w:val="right" w:pos="9639"/>
              </w:tabs>
              <w:spacing w:line="276" w:lineRule="auto"/>
              <w:jc w:val="right"/>
              <w:rPr>
                <w:rFonts w:ascii="Georgia" w:hAnsi="Georgia"/>
                <w:sz w:val="16"/>
                <w:szCs w:val="16"/>
              </w:rPr>
            </w:pPr>
            <w:r w:rsidRPr="00A739B9">
              <w:rPr>
                <w:rFonts w:ascii="Georgia" w:hAnsi="Georgia"/>
                <w:sz w:val="16"/>
                <w:szCs w:val="16"/>
              </w:rPr>
              <w:t>Denmark</w:t>
            </w:r>
          </w:p>
        </w:tc>
        <w:tc>
          <w:tcPr>
            <w:tcW w:w="2223" w:type="dxa"/>
          </w:tcPr>
          <w:p w14:paraId="59EE0757" w14:textId="77777777" w:rsidR="00F55AD6" w:rsidRPr="00A739B9"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A739B9">
              <w:rPr>
                <w:rFonts w:ascii="Georgia" w:hAnsi="Georgia"/>
                <w:sz w:val="16"/>
                <w:szCs w:val="16"/>
              </w:rPr>
              <w:t>Danish Statutory Order</w:t>
            </w:r>
          </w:p>
        </w:tc>
        <w:tc>
          <w:tcPr>
            <w:tcW w:w="2552" w:type="dxa"/>
          </w:tcPr>
          <w:p w14:paraId="71C28F39" w14:textId="77777777" w:rsidR="00F55AD6" w:rsidRDefault="00F55AD6"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A739B9">
              <w:rPr>
                <w:rFonts w:ascii="Georgia" w:hAnsi="Georgia"/>
                <w:sz w:val="16"/>
                <w:szCs w:val="16"/>
              </w:rPr>
              <w:t>Energy Act</w:t>
            </w:r>
          </w:p>
          <w:p w14:paraId="1B9C8A52" w14:textId="79055BC1" w:rsidR="00CC58C8" w:rsidRPr="00A739B9" w:rsidRDefault="00CC58C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CC58C8">
              <w:rPr>
                <w:rFonts w:ascii="Georgia" w:hAnsi="Georgia"/>
                <w:sz w:val="16"/>
                <w:szCs w:val="16"/>
              </w:rPr>
              <w:t>National Energy and Climate Plan (NECP)</w:t>
            </w:r>
            <w:r w:rsidR="003238F5">
              <w:rPr>
                <w:rFonts w:ascii="Georgia" w:hAnsi="Georgia"/>
                <w:sz w:val="16"/>
                <w:szCs w:val="16"/>
              </w:rPr>
              <w:t>*</w:t>
            </w:r>
          </w:p>
        </w:tc>
        <w:tc>
          <w:tcPr>
            <w:tcW w:w="1984" w:type="dxa"/>
          </w:tcPr>
          <w:p w14:paraId="5F732CFA" w14:textId="36777493" w:rsidR="00F55AD6" w:rsidRPr="00A739B9" w:rsidRDefault="005F4667"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CF2D42">
              <w:rPr>
                <w:rFonts w:ascii="Georgia" w:hAnsi="Georgia"/>
                <w:sz w:val="16"/>
                <w:szCs w:val="16"/>
              </w:rPr>
              <w:t>Habitat</w:t>
            </w:r>
            <w:r>
              <w:rPr>
                <w:rFonts w:ascii="Georgia" w:hAnsi="Georgia"/>
                <w:sz w:val="16"/>
                <w:szCs w:val="16"/>
              </w:rPr>
              <w:t>s</w:t>
            </w:r>
            <w:r w:rsidRPr="00CF2D42">
              <w:rPr>
                <w:rFonts w:ascii="Georgia" w:hAnsi="Georgia"/>
                <w:sz w:val="16"/>
                <w:szCs w:val="16"/>
              </w:rPr>
              <w:t xml:space="preserve"> Directive</w:t>
            </w:r>
            <w:r>
              <w:rPr>
                <w:rFonts w:ascii="Georgia" w:hAnsi="Georgia"/>
                <w:sz w:val="16"/>
                <w:szCs w:val="16"/>
              </w:rPr>
              <w:t xml:space="preserve"> ++</w:t>
            </w:r>
          </w:p>
        </w:tc>
      </w:tr>
    </w:tbl>
    <w:p w14:paraId="52A0D058" w14:textId="7FCFD623" w:rsidR="00CC7A53" w:rsidRDefault="00CC58C8" w:rsidP="00F55AD6">
      <w:pPr>
        <w:spacing w:line="276" w:lineRule="auto"/>
        <w:rPr>
          <w:rFonts w:ascii="Georgia" w:hAnsi="Georgia"/>
          <w:sz w:val="16"/>
          <w:szCs w:val="16"/>
        </w:rPr>
      </w:pPr>
      <w:r w:rsidRPr="00CC58C8">
        <w:rPr>
          <w:rFonts w:ascii="Georgia" w:hAnsi="Georgia"/>
          <w:sz w:val="16"/>
          <w:szCs w:val="16"/>
        </w:rPr>
        <w:t xml:space="preserve">* To meet the EU’s energy and climate targets for 2030, EU Member States need to establish a 10-year integrated national energy and climate plan (NECP) for the period from 2021 to 2030. Introduced under the </w:t>
      </w:r>
      <w:hyperlink r:id="rId11" w:anchor="content-heading-2" w:history="1">
        <w:r w:rsidRPr="00CC58C8">
          <w:rPr>
            <w:rStyle w:val="Hyperlink"/>
            <w:rFonts w:ascii="Georgia" w:hAnsi="Georgia"/>
            <w:sz w:val="16"/>
            <w:szCs w:val="16"/>
          </w:rPr>
          <w:t>Regulation on the governance of the energy union and climate action (EU/2018/1999)</w:t>
        </w:r>
        <w:r w:rsidRPr="00CC58C8">
          <w:rPr>
            <w:rFonts w:ascii="Georgia" w:hAnsi="Georgia"/>
            <w:sz w:val="16"/>
            <w:szCs w:val="16"/>
          </w:rPr>
          <w:t>,</w:t>
        </w:r>
      </w:hyperlink>
      <w:r w:rsidRPr="00CC58C8">
        <w:rPr>
          <w:rFonts w:ascii="Georgia" w:hAnsi="Georgia"/>
          <w:sz w:val="16"/>
          <w:szCs w:val="16"/>
        </w:rPr>
        <w:t xml:space="preserve"> the rules requires the final NECP to be submitted to the Commission by the end of 2019</w:t>
      </w:r>
      <w:r>
        <w:rPr>
          <w:rFonts w:ascii="Georgia" w:hAnsi="Georgia"/>
          <w:sz w:val="16"/>
          <w:szCs w:val="16"/>
        </w:rPr>
        <w:t xml:space="preserve"> (</w:t>
      </w:r>
      <w:hyperlink r:id="rId12" w:history="1">
        <w:r w:rsidRPr="00CC58C8">
          <w:rPr>
            <w:rStyle w:val="Hyperlink"/>
            <w:rFonts w:ascii="Georgia" w:hAnsi="Georgia"/>
            <w:sz w:val="16"/>
            <w:szCs w:val="16"/>
          </w:rPr>
          <w:t>ec.europa.eu/energy</w:t>
        </w:r>
      </w:hyperlink>
      <w:r>
        <w:rPr>
          <w:rFonts w:ascii="Georgia" w:hAnsi="Georgia"/>
          <w:sz w:val="16"/>
          <w:szCs w:val="16"/>
        </w:rPr>
        <w:t>)</w:t>
      </w:r>
      <w:r w:rsidRPr="00CC58C8">
        <w:rPr>
          <w:rFonts w:ascii="Georgia" w:hAnsi="Georgia"/>
          <w:sz w:val="16"/>
          <w:szCs w:val="16"/>
        </w:rPr>
        <w:t>.</w:t>
      </w:r>
    </w:p>
    <w:p w14:paraId="6357023C" w14:textId="231C0522" w:rsidR="00CF2D42" w:rsidRPr="00CC58C8" w:rsidRDefault="00CF2D42" w:rsidP="00F55AD6">
      <w:pPr>
        <w:spacing w:line="276" w:lineRule="auto"/>
        <w:rPr>
          <w:rFonts w:ascii="Georgia" w:hAnsi="Georgia"/>
          <w:sz w:val="16"/>
          <w:szCs w:val="16"/>
        </w:rPr>
      </w:pPr>
      <w:r>
        <w:rPr>
          <w:rFonts w:ascii="Georgia" w:hAnsi="Georgia"/>
          <w:sz w:val="16"/>
          <w:szCs w:val="16"/>
        </w:rPr>
        <w:t xml:space="preserve">++ </w:t>
      </w:r>
      <w:r w:rsidRPr="00CF2D42">
        <w:rPr>
          <w:rFonts w:ascii="Georgia" w:hAnsi="Georgia"/>
          <w:sz w:val="16"/>
          <w:szCs w:val="16"/>
        </w:rPr>
        <w:t>Habitat Directive for assessment and permission for construction of corridors for laying power cables across the area.</w:t>
      </w:r>
    </w:p>
    <w:p w14:paraId="744C55BE" w14:textId="77777777" w:rsidR="00CC58C8" w:rsidRDefault="00CC58C8" w:rsidP="00F55AD6">
      <w:pPr>
        <w:spacing w:line="276" w:lineRule="auto"/>
        <w:rPr>
          <w:rFonts w:cs="Rotis Sans Serif Std"/>
          <w:color w:val="000000"/>
          <w:sz w:val="20"/>
          <w:szCs w:val="20"/>
        </w:rPr>
      </w:pPr>
    </w:p>
    <w:p w14:paraId="3B59A4FA" w14:textId="74B4AEBF" w:rsidR="00F55AD6" w:rsidRPr="00F55AD6" w:rsidRDefault="00F55AD6" w:rsidP="00F55AD6">
      <w:pPr>
        <w:spacing w:line="276" w:lineRule="auto"/>
        <w:rPr>
          <w:rFonts w:ascii="Georgia" w:hAnsi="Georgia"/>
          <w:i/>
          <w:iCs/>
          <w:sz w:val="20"/>
          <w:szCs w:val="20"/>
          <w:u w:val="single"/>
        </w:rPr>
      </w:pPr>
      <w:r w:rsidRPr="00F55AD6">
        <w:rPr>
          <w:rFonts w:ascii="Georgia" w:hAnsi="Georgia"/>
          <w:i/>
          <w:iCs/>
          <w:sz w:val="20"/>
          <w:szCs w:val="20"/>
          <w:u w:val="single"/>
        </w:rPr>
        <w:t>Trends</w:t>
      </w:r>
    </w:p>
    <w:p w14:paraId="719F8FDD" w14:textId="46024BB3" w:rsidR="000254CE" w:rsidRPr="000254CE" w:rsidRDefault="00AC3D0D" w:rsidP="000254CE">
      <w:pPr>
        <w:spacing w:after="200" w:line="276" w:lineRule="auto"/>
        <w:rPr>
          <w:rFonts w:ascii="Georgia" w:hAnsi="Georgia"/>
          <w:sz w:val="20"/>
          <w:szCs w:val="20"/>
        </w:rPr>
      </w:pPr>
      <w:r>
        <w:rPr>
          <w:rFonts w:ascii="Georgia" w:hAnsi="Georgia"/>
          <w:sz w:val="20"/>
          <w:szCs w:val="20"/>
        </w:rPr>
        <w:t xml:space="preserve">Wind energy generation has a very important role in Europe. </w:t>
      </w:r>
      <w:r w:rsidR="000254CE" w:rsidRPr="000254CE">
        <w:rPr>
          <w:rFonts w:ascii="Georgia" w:hAnsi="Georgia"/>
          <w:sz w:val="20"/>
          <w:szCs w:val="20"/>
        </w:rPr>
        <w:t>From a total of 3,018.5 MW provided in European waters, 86.1 % were in the North Sea, 9.2 % in the Baltic Sea, and 4.7 % in the Irish Sea</w:t>
      </w:r>
      <w:r w:rsidR="000254CE">
        <w:rPr>
          <w:rFonts w:ascii="Georgia" w:hAnsi="Georgia"/>
          <w:sz w:val="20"/>
          <w:szCs w:val="20"/>
        </w:rPr>
        <w:t xml:space="preserve"> (data from 2015</w:t>
      </w:r>
      <w:r w:rsidR="00127A4A">
        <w:rPr>
          <w:rFonts w:ascii="Georgia" w:hAnsi="Georgia"/>
          <w:sz w:val="20"/>
          <w:szCs w:val="20"/>
        </w:rPr>
        <w:t xml:space="preserve"> in</w:t>
      </w:r>
      <w:r w:rsidR="000254CE">
        <w:rPr>
          <w:rFonts w:ascii="Georgia" w:hAnsi="Georgia"/>
          <w:sz w:val="20"/>
          <w:szCs w:val="20"/>
        </w:rPr>
        <w:t xml:space="preserve"> QSR, 2017)</w:t>
      </w:r>
      <w:r w:rsidR="000254CE" w:rsidRPr="000254CE">
        <w:rPr>
          <w:rFonts w:ascii="Georgia" w:hAnsi="Georgia"/>
          <w:sz w:val="20"/>
          <w:szCs w:val="20"/>
        </w:rPr>
        <w:t>.</w:t>
      </w:r>
      <w:r>
        <w:rPr>
          <w:rFonts w:ascii="Georgia" w:hAnsi="Georgia"/>
          <w:sz w:val="20"/>
          <w:szCs w:val="20"/>
        </w:rPr>
        <w:t xml:space="preserve"> The governments from the Netherlands, Germany and Denmark have plans to increase the generation of renewable energies to progressively lower fossil fuel use. Figure </w:t>
      </w:r>
      <w:r w:rsidR="00F55AD6">
        <w:rPr>
          <w:rFonts w:ascii="Georgia" w:hAnsi="Georgia"/>
          <w:sz w:val="20"/>
          <w:szCs w:val="20"/>
        </w:rPr>
        <w:t>1</w:t>
      </w:r>
      <w:r>
        <w:rPr>
          <w:rFonts w:ascii="Georgia" w:hAnsi="Georgia"/>
          <w:sz w:val="20"/>
          <w:szCs w:val="20"/>
        </w:rPr>
        <w:t xml:space="preserve"> shows the planned increase in Megawatts production between 2020 and 2030 and the percentage that that production represents from the overall energy production.</w:t>
      </w:r>
    </w:p>
    <w:p w14:paraId="199B49F8" w14:textId="0AE94E3D" w:rsidR="00FB418E" w:rsidRDefault="00612B66" w:rsidP="00E7694D">
      <w:pPr>
        <w:spacing w:line="276" w:lineRule="auto"/>
        <w:rPr>
          <w:rFonts w:ascii="Georgia" w:hAnsi="Georgia"/>
          <w:sz w:val="20"/>
          <w:szCs w:val="20"/>
        </w:rPr>
      </w:pPr>
      <w:r>
        <w:rPr>
          <w:noProof/>
        </w:rPr>
        <mc:AlternateContent>
          <mc:Choice Requires="wps">
            <w:drawing>
              <wp:anchor distT="0" distB="0" distL="114300" distR="114300" simplePos="0" relativeHeight="251664384" behindDoc="0" locked="0" layoutInCell="1" allowOverlap="1" wp14:anchorId="7940E97E" wp14:editId="4A6BD78B">
                <wp:simplePos x="0" y="0"/>
                <wp:positionH relativeFrom="column">
                  <wp:posOffset>2826978</wp:posOffset>
                </wp:positionH>
                <wp:positionV relativeFrom="paragraph">
                  <wp:posOffset>929186</wp:posOffset>
                </wp:positionV>
                <wp:extent cx="406958" cy="422052"/>
                <wp:effectExtent l="0" t="38100" r="50800" b="16510"/>
                <wp:wrapNone/>
                <wp:docPr id="14" name="Gerade Verbindung mit Pfeil 14"/>
                <wp:cNvGraphicFramePr/>
                <a:graphic xmlns:a="http://schemas.openxmlformats.org/drawingml/2006/main">
                  <a:graphicData uri="http://schemas.microsoft.com/office/word/2010/wordprocessingShape">
                    <wps:wsp>
                      <wps:cNvCnPr/>
                      <wps:spPr>
                        <a:xfrm flipV="1">
                          <a:off x="0" y="0"/>
                          <a:ext cx="406958" cy="422052"/>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5D0E05" id="_x0000_t32" coordsize="21600,21600" o:spt="32" o:oned="t" path="m,l21600,21600e" filled="f">
                <v:path arrowok="t" fillok="f" o:connecttype="none"/>
                <o:lock v:ext="edit" shapetype="t"/>
              </v:shapetype>
              <v:shape id="Gerade Verbindung mit Pfeil 14" o:spid="_x0000_s1026" type="#_x0000_t32" style="position:absolute;margin-left:222.6pt;margin-top:73.15pt;width:32.05pt;height:3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" strokecolor="#40a7c2 [3048]">
                <v:stroke endarrow="block"/>
              </v:shape>
            </w:pict>
          </mc:Fallback>
        </mc:AlternateContent>
      </w:r>
      <w:r>
        <w:rPr>
          <w:noProof/>
        </w:rPr>
        <mc:AlternateContent>
          <mc:Choice Requires="wps">
            <w:drawing>
              <wp:anchor distT="0" distB="0" distL="114300" distR="114300" simplePos="0" relativeHeight="251660800" behindDoc="0" locked="0" layoutInCell="1" allowOverlap="1" wp14:anchorId="3223D791" wp14:editId="789157AC">
                <wp:simplePos x="0" y="0"/>
                <wp:positionH relativeFrom="column">
                  <wp:posOffset>1897506</wp:posOffset>
                </wp:positionH>
                <wp:positionV relativeFrom="paragraph">
                  <wp:posOffset>1517014</wp:posOffset>
                </wp:positionV>
                <wp:extent cx="447151" cy="316467"/>
                <wp:effectExtent l="0" t="38100" r="48260" b="26670"/>
                <wp:wrapNone/>
                <wp:docPr id="13" name="Gerade Verbindung mit Pfeil 13"/>
                <wp:cNvGraphicFramePr/>
                <a:graphic xmlns:a="http://schemas.openxmlformats.org/drawingml/2006/main">
                  <a:graphicData uri="http://schemas.microsoft.com/office/word/2010/wordprocessingShape">
                    <wps:wsp>
                      <wps:cNvCnPr/>
                      <wps:spPr>
                        <a:xfrm flipV="1">
                          <a:off x="0" y="0"/>
                          <a:ext cx="447151" cy="316467"/>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E5ADC" id="Gerade Verbindung mit Pfeil 13" o:spid="_x0000_s1026" type="#_x0000_t32" style="position:absolute;margin-left:149.4pt;margin-top:119.45pt;width:35.2pt;height:24.9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" strokecolor="#40a7c2 [3048]">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097207F2" wp14:editId="456723CF">
                <wp:simplePos x="0" y="0"/>
                <wp:positionH relativeFrom="column">
                  <wp:posOffset>1003202</wp:posOffset>
                </wp:positionH>
                <wp:positionV relativeFrom="paragraph">
                  <wp:posOffset>309119</wp:posOffset>
                </wp:positionV>
                <wp:extent cx="416428" cy="871276"/>
                <wp:effectExtent l="0" t="38100" r="60325" b="24130"/>
                <wp:wrapNone/>
                <wp:docPr id="12" name="Gerade Verbindung mit Pfeil 12"/>
                <wp:cNvGraphicFramePr/>
                <a:graphic xmlns:a="http://schemas.openxmlformats.org/drawingml/2006/main">
                  <a:graphicData uri="http://schemas.microsoft.com/office/word/2010/wordprocessingShape">
                    <wps:wsp>
                      <wps:cNvCnPr/>
                      <wps:spPr>
                        <a:xfrm flipV="1">
                          <a:off x="0" y="0"/>
                          <a:ext cx="416428" cy="871276"/>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8D3A1" id="Gerade Verbindung mit Pfeil 12" o:spid="_x0000_s1026" type="#_x0000_t32" style="position:absolute;margin-left:79pt;margin-top:24.35pt;width:32.8pt;height:68.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" strokecolor="#40a7c2 [3048]">
                <v:stroke endarrow="block"/>
              </v:shape>
            </w:pict>
          </mc:Fallback>
        </mc:AlternateContent>
      </w:r>
      <w:r w:rsidR="00FB418E">
        <w:rPr>
          <w:noProof/>
        </w:rPr>
        <w:drawing>
          <wp:inline distT="0" distB="0" distL="0" distR="0" wp14:anchorId="2B3BDB71" wp14:editId="24B49F6B">
            <wp:extent cx="3667648" cy="2562002"/>
            <wp:effectExtent l="0" t="0" r="9525" b="10160"/>
            <wp:docPr id="9" name="Diagramm 9">
              <a:extLst xmlns:a="http://schemas.openxmlformats.org/drawingml/2006/main">
                <a:ext uri="{FF2B5EF4-FFF2-40B4-BE49-F238E27FC236}">
                  <a16:creationId xmlns:a16="http://schemas.microsoft.com/office/drawing/2014/main" id="{D6DF673F-4BD6-4668-96B0-4695CC28D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04E079" w14:textId="233BFC44" w:rsidR="00FB418E" w:rsidRPr="00E7694D" w:rsidRDefault="00E7694D" w:rsidP="000254CE">
      <w:pPr>
        <w:spacing w:after="200" w:line="276" w:lineRule="auto"/>
        <w:rPr>
          <w:rFonts w:ascii="Georgia" w:hAnsi="Georgia"/>
          <w:sz w:val="16"/>
          <w:szCs w:val="16"/>
        </w:rPr>
      </w:pPr>
      <w:r w:rsidRPr="00612B66">
        <w:rPr>
          <w:rFonts w:ascii="Georgia" w:hAnsi="Georgia"/>
          <w:b/>
          <w:bCs/>
          <w:sz w:val="16"/>
          <w:szCs w:val="16"/>
        </w:rPr>
        <w:t xml:space="preserve">Figure </w:t>
      </w:r>
      <w:r w:rsidR="001A4598">
        <w:rPr>
          <w:rFonts w:ascii="Georgia" w:hAnsi="Georgia"/>
          <w:b/>
          <w:bCs/>
          <w:sz w:val="16"/>
          <w:szCs w:val="16"/>
        </w:rPr>
        <w:t>2</w:t>
      </w:r>
      <w:r w:rsidRPr="00612B66">
        <w:rPr>
          <w:rFonts w:ascii="Georgia" w:hAnsi="Georgia"/>
          <w:b/>
          <w:bCs/>
          <w:sz w:val="16"/>
          <w:szCs w:val="16"/>
        </w:rPr>
        <w:t>.</w:t>
      </w:r>
      <w:r w:rsidRPr="00E7694D">
        <w:rPr>
          <w:rFonts w:ascii="Georgia" w:hAnsi="Georgia"/>
          <w:sz w:val="16"/>
          <w:szCs w:val="16"/>
        </w:rPr>
        <w:t xml:space="preserve"> </w:t>
      </w:r>
      <w:r w:rsidR="00FB418E" w:rsidRPr="00E7694D">
        <w:rPr>
          <w:rFonts w:ascii="Georgia" w:hAnsi="Georgia"/>
          <w:sz w:val="16"/>
          <w:szCs w:val="16"/>
        </w:rPr>
        <w:t xml:space="preserve">Plans to increase the renewable energy production in the three countries measured in Megawatts. In Germany by 2025 it is expected that 40-45% of all generated energy comes from renewable sources, and in 2035, 55-60%. In the Netherlands it is planned to increase from 14% in 2020 to 16% in 2023 and in Denmark </w:t>
      </w:r>
      <w:r w:rsidR="004022A4" w:rsidRPr="00E7694D">
        <w:rPr>
          <w:rFonts w:ascii="Georgia" w:hAnsi="Georgia"/>
          <w:sz w:val="16"/>
          <w:szCs w:val="16"/>
        </w:rPr>
        <w:t xml:space="preserve">in 2014, 40% of all energy was generated from wind power, in 2020, 50%. For 2030, </w:t>
      </w:r>
      <w:r w:rsidR="004022A4" w:rsidRPr="00E7694D">
        <w:rPr>
          <w:rFonts w:ascii="Georgia" w:hAnsi="Georgia"/>
          <w:sz w:val="16"/>
          <w:szCs w:val="16"/>
          <w:highlight w:val="yellow"/>
        </w:rPr>
        <w:t>…</w:t>
      </w:r>
      <w:r w:rsidR="004022A4" w:rsidRPr="00E7694D">
        <w:rPr>
          <w:rFonts w:ascii="Georgia" w:hAnsi="Georgia"/>
          <w:sz w:val="16"/>
          <w:szCs w:val="16"/>
        </w:rPr>
        <w:t>% is expected.</w:t>
      </w:r>
    </w:p>
    <w:p w14:paraId="5750B1EC" w14:textId="0082851D" w:rsidR="00365C52" w:rsidRPr="00EA070D" w:rsidRDefault="001A4598" w:rsidP="00EA070D">
      <w:pPr>
        <w:spacing w:line="276" w:lineRule="auto"/>
        <w:rPr>
          <w:rFonts w:ascii="Georgia" w:hAnsi="Georgia"/>
          <w:i/>
          <w:iCs/>
          <w:sz w:val="20"/>
          <w:szCs w:val="20"/>
          <w:u w:val="single"/>
        </w:rPr>
      </w:pPr>
      <w:r>
        <w:rPr>
          <w:rFonts w:ascii="Georgia" w:hAnsi="Georgia"/>
          <w:i/>
          <w:iCs/>
          <w:sz w:val="20"/>
          <w:szCs w:val="20"/>
          <w:u w:val="single"/>
        </w:rPr>
        <w:t>T</w:t>
      </w:r>
      <w:r w:rsidR="00365C52" w:rsidRPr="00EA070D">
        <w:rPr>
          <w:rFonts w:ascii="Georgia" w:hAnsi="Georgia"/>
          <w:i/>
          <w:iCs/>
          <w:sz w:val="20"/>
          <w:szCs w:val="20"/>
          <w:u w:val="single"/>
        </w:rPr>
        <w:t>hreats</w:t>
      </w:r>
    </w:p>
    <w:p w14:paraId="06F42EE5" w14:textId="4E695E5B" w:rsidR="00B466A5" w:rsidRDefault="00EA070D">
      <w:pPr>
        <w:spacing w:after="200" w:line="276" w:lineRule="auto"/>
        <w:rPr>
          <w:rFonts w:ascii="Arial" w:eastAsiaTheme="majorEastAsia" w:hAnsi="Arial" w:cs="Arial"/>
          <w:b/>
          <w:bCs/>
          <w:color w:val="000000" w:themeColor="text1"/>
          <w:lang w:val="en-GB"/>
        </w:rPr>
      </w:pPr>
      <w:r w:rsidRPr="00EA070D">
        <w:rPr>
          <w:rFonts w:ascii="Georgia" w:hAnsi="Georgia"/>
          <w:sz w:val="20"/>
          <w:szCs w:val="20"/>
        </w:rPr>
        <w:t>T</w:t>
      </w:r>
      <w:r w:rsidR="00365C52" w:rsidRPr="00EA070D">
        <w:rPr>
          <w:rFonts w:ascii="Georgia" w:hAnsi="Georgia"/>
          <w:sz w:val="20"/>
          <w:szCs w:val="20"/>
        </w:rPr>
        <w:t>ransfer cables to the coastline are laid through the Wadden Sea causing impact</w:t>
      </w:r>
      <w:r w:rsidR="00917DB4">
        <w:rPr>
          <w:rFonts w:ascii="Georgia" w:hAnsi="Georgia"/>
          <w:sz w:val="20"/>
          <w:szCs w:val="20"/>
        </w:rPr>
        <w:t xml:space="preserve"> (QSR, 2017)</w:t>
      </w:r>
      <w:r w:rsidR="00365C52" w:rsidRPr="00EA070D">
        <w:rPr>
          <w:rFonts w:ascii="Georgia" w:hAnsi="Georgia"/>
          <w:sz w:val="20"/>
          <w:szCs w:val="20"/>
        </w:rPr>
        <w:t>.</w:t>
      </w:r>
      <w:r w:rsidRPr="00EA070D">
        <w:rPr>
          <w:rFonts w:ascii="Georgia" w:hAnsi="Georgia"/>
          <w:sz w:val="20"/>
          <w:szCs w:val="20"/>
        </w:rPr>
        <w:t xml:space="preserve"> </w:t>
      </w:r>
      <w:r w:rsidR="001A4598" w:rsidRPr="001A4598">
        <w:rPr>
          <w:rFonts w:ascii="Georgia" w:hAnsi="Georgia"/>
          <w:sz w:val="20"/>
          <w:szCs w:val="20"/>
          <w:highlight w:val="yellow"/>
        </w:rPr>
        <w:t>This needs to be updated and further worked on.</w:t>
      </w:r>
      <w:r w:rsidR="00B466A5">
        <w:br w:type="page"/>
      </w:r>
    </w:p>
    <w:p w14:paraId="15492410" w14:textId="44CCBD19" w:rsidR="00D83F90" w:rsidRPr="0051671D" w:rsidRDefault="00D83F90" w:rsidP="0051671D">
      <w:pPr>
        <w:pStyle w:val="berschrift2"/>
      </w:pPr>
      <w:r w:rsidRPr="0051671D">
        <w:lastRenderedPageBreak/>
        <w:t>Energy from Oil and Gas</w:t>
      </w:r>
      <w:r w:rsidR="00126DDE" w:rsidRPr="0051671D">
        <w:t xml:space="preserve"> </w:t>
      </w:r>
      <w:r w:rsidR="00127A4A">
        <w:t>- draft</w:t>
      </w:r>
    </w:p>
    <w:p w14:paraId="039DBA0B" w14:textId="54F6DE35" w:rsidR="001A4598" w:rsidRDefault="001A4598" w:rsidP="008561DC">
      <w:pPr>
        <w:spacing w:after="200" w:line="276" w:lineRule="auto"/>
        <w:rPr>
          <w:rFonts w:ascii="Georgia" w:hAnsi="Georgia"/>
          <w:sz w:val="20"/>
          <w:szCs w:val="20"/>
          <w:u w:val="single"/>
        </w:rPr>
      </w:pPr>
      <w:r w:rsidRPr="001A4598">
        <w:rPr>
          <w:rFonts w:ascii="Georgia" w:hAnsi="Georgia"/>
          <w:sz w:val="20"/>
          <w:szCs w:val="20"/>
        </w:rPr>
        <w:t>Energy from Oil and Gas</w:t>
      </w:r>
      <w:r>
        <w:rPr>
          <w:rFonts w:ascii="Georgia" w:hAnsi="Georgia"/>
          <w:b/>
          <w:bCs/>
          <w:sz w:val="20"/>
          <w:szCs w:val="20"/>
        </w:rPr>
        <w:t xml:space="preserve"> </w:t>
      </w:r>
      <w:r>
        <w:rPr>
          <w:rFonts w:ascii="Georgia" w:hAnsi="Georgia"/>
          <w:sz w:val="20"/>
          <w:szCs w:val="20"/>
        </w:rPr>
        <w:t>refers to the exploitation platforms and pipes used to transport oil and natural gas.</w:t>
      </w:r>
    </w:p>
    <w:p w14:paraId="53A2C6B4" w14:textId="551E8012" w:rsidR="001A4598" w:rsidRDefault="001A4598" w:rsidP="00B870FA">
      <w:pPr>
        <w:spacing w:after="200" w:line="276" w:lineRule="auto"/>
      </w:pPr>
      <w:r>
        <w:rPr>
          <w:rFonts w:ascii="Georgia" w:hAnsi="Georgia"/>
          <w:sz w:val="20"/>
          <w:szCs w:val="20"/>
          <w:u w:val="single"/>
        </w:rPr>
        <w:t>Inventory</w:t>
      </w:r>
    </w:p>
    <w:tbl>
      <w:tblPr>
        <w:tblStyle w:val="Gitternetztabelle5dunkelAkzent5"/>
        <w:tblW w:w="0" w:type="auto"/>
        <w:tblLook w:val="04A0" w:firstRow="1" w:lastRow="0" w:firstColumn="1" w:lastColumn="0" w:noHBand="0" w:noVBand="1"/>
      </w:tblPr>
      <w:tblGrid>
        <w:gridCol w:w="3794"/>
        <w:gridCol w:w="3118"/>
        <w:gridCol w:w="2867"/>
      </w:tblGrid>
      <w:tr w:rsidR="001A4598" w:rsidRPr="00B870FA" w14:paraId="68AE4257" w14:textId="77777777" w:rsidTr="00B8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26ADC461" w14:textId="77777777" w:rsidR="001A4598" w:rsidRPr="00B870FA" w:rsidRDefault="001A4598" w:rsidP="00E31957">
            <w:pPr>
              <w:tabs>
                <w:tab w:val="right" w:pos="9639"/>
              </w:tabs>
              <w:spacing w:line="276" w:lineRule="auto"/>
              <w:jc w:val="center"/>
              <w:rPr>
                <w:rFonts w:ascii="Georgia" w:hAnsi="Georgia"/>
                <w:sz w:val="16"/>
                <w:szCs w:val="16"/>
              </w:rPr>
            </w:pPr>
          </w:p>
        </w:tc>
        <w:tc>
          <w:tcPr>
            <w:tcW w:w="3118" w:type="dxa"/>
          </w:tcPr>
          <w:p w14:paraId="735380AC" w14:textId="77777777" w:rsidR="001A4598" w:rsidRPr="00B870FA" w:rsidRDefault="001A4598" w:rsidP="00E31957">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Gas exploitation</w:t>
            </w:r>
          </w:p>
        </w:tc>
        <w:tc>
          <w:tcPr>
            <w:tcW w:w="2867" w:type="dxa"/>
          </w:tcPr>
          <w:p w14:paraId="657C329B" w14:textId="77777777" w:rsidR="001A4598" w:rsidRPr="00B870FA" w:rsidRDefault="001A4598" w:rsidP="00E31957">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Oil exploitation</w:t>
            </w:r>
          </w:p>
        </w:tc>
      </w:tr>
      <w:tr w:rsidR="001A4598" w:rsidRPr="00B870FA" w14:paraId="0C8580C6" w14:textId="77777777" w:rsidTr="00B8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0034023D" w14:textId="5DDC61AC" w:rsidR="001A4598" w:rsidRPr="00B870FA" w:rsidRDefault="001A4598" w:rsidP="00E31957">
            <w:pPr>
              <w:tabs>
                <w:tab w:val="right" w:pos="9639"/>
              </w:tabs>
              <w:spacing w:line="276" w:lineRule="auto"/>
              <w:rPr>
                <w:rFonts w:ascii="Georgia" w:hAnsi="Georgia"/>
                <w:sz w:val="16"/>
                <w:szCs w:val="16"/>
              </w:rPr>
            </w:pPr>
            <w:r w:rsidRPr="00B870FA">
              <w:rPr>
                <w:rFonts w:ascii="Georgia" w:hAnsi="Georgia"/>
                <w:sz w:val="16"/>
                <w:szCs w:val="16"/>
              </w:rPr>
              <w:t>Wadden Sea World Heritage property in</w:t>
            </w:r>
            <w:r w:rsidR="00B870FA" w:rsidRPr="00B870FA">
              <w:rPr>
                <w:rFonts w:ascii="Georgia" w:hAnsi="Georgia"/>
                <w:sz w:val="16"/>
                <w:szCs w:val="16"/>
              </w:rPr>
              <w:t>…</w:t>
            </w:r>
            <w:r w:rsidRPr="00B870FA">
              <w:rPr>
                <w:rFonts w:ascii="Georgia" w:hAnsi="Georgia"/>
                <w:sz w:val="16"/>
                <w:szCs w:val="16"/>
              </w:rPr>
              <w:t xml:space="preserve"> </w:t>
            </w:r>
          </w:p>
        </w:tc>
        <w:tc>
          <w:tcPr>
            <w:tcW w:w="3118" w:type="dxa"/>
          </w:tcPr>
          <w:p w14:paraId="66469096"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2867" w:type="dxa"/>
          </w:tcPr>
          <w:p w14:paraId="3C25ADB3"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r>
      <w:tr w:rsidR="001A4598" w:rsidRPr="00B870FA" w14:paraId="11488FC9" w14:textId="77777777" w:rsidTr="00B870FA">
        <w:trPr>
          <w:trHeight w:val="638"/>
        </w:trPr>
        <w:tc>
          <w:tcPr>
            <w:cnfStyle w:val="001000000000" w:firstRow="0" w:lastRow="0" w:firstColumn="1" w:lastColumn="0" w:oddVBand="0" w:evenVBand="0" w:oddHBand="0" w:evenHBand="0" w:firstRowFirstColumn="0" w:firstRowLastColumn="0" w:lastRowFirstColumn="0" w:lastRowLastColumn="0"/>
            <w:tcW w:w="3794" w:type="dxa"/>
          </w:tcPr>
          <w:p w14:paraId="78A9F01C" w14:textId="77777777" w:rsidR="001A4598" w:rsidRPr="00B870FA" w:rsidRDefault="001A4598" w:rsidP="00E31957">
            <w:pPr>
              <w:tabs>
                <w:tab w:val="right" w:pos="9639"/>
              </w:tabs>
              <w:spacing w:line="276" w:lineRule="auto"/>
              <w:jc w:val="right"/>
              <w:rPr>
                <w:rFonts w:ascii="Georgia" w:hAnsi="Georgia"/>
                <w:b w:val="0"/>
                <w:bCs w:val="0"/>
                <w:sz w:val="16"/>
                <w:szCs w:val="16"/>
              </w:rPr>
            </w:pPr>
          </w:p>
          <w:p w14:paraId="2A6D6D9D" w14:textId="77777777" w:rsidR="001A4598" w:rsidRPr="00B870FA" w:rsidRDefault="001A4598" w:rsidP="00E31957">
            <w:pPr>
              <w:tabs>
                <w:tab w:val="right" w:pos="9639"/>
              </w:tabs>
              <w:spacing w:line="276" w:lineRule="auto"/>
              <w:jc w:val="right"/>
              <w:rPr>
                <w:rFonts w:ascii="Georgia" w:hAnsi="Georgia"/>
                <w:sz w:val="16"/>
                <w:szCs w:val="16"/>
              </w:rPr>
            </w:pPr>
            <w:r w:rsidRPr="00B870FA">
              <w:rPr>
                <w:rFonts w:ascii="Georgia" w:hAnsi="Georgia"/>
                <w:sz w:val="16"/>
                <w:szCs w:val="16"/>
              </w:rPr>
              <w:t xml:space="preserve">the Netherlands </w:t>
            </w:r>
          </w:p>
        </w:tc>
        <w:tc>
          <w:tcPr>
            <w:tcW w:w="3118" w:type="dxa"/>
          </w:tcPr>
          <w:p w14:paraId="4312FB39" w14:textId="77777777" w:rsidR="001A4598" w:rsidRPr="00B870FA" w:rsidRDefault="001A4598" w:rsidP="00E31957">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Yes, from the shore outside the WSWH with directional drilling underneath the WSWH.</w:t>
            </w:r>
          </w:p>
        </w:tc>
        <w:tc>
          <w:tcPr>
            <w:tcW w:w="2867" w:type="dxa"/>
          </w:tcPr>
          <w:p w14:paraId="4A3C95B8" w14:textId="77777777" w:rsidR="001A4598" w:rsidRPr="00B870FA" w:rsidRDefault="001A459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r>
      <w:tr w:rsidR="001A4598" w:rsidRPr="00B870FA" w14:paraId="1C88F1E7" w14:textId="77777777" w:rsidTr="00B8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7C0C0A0" w14:textId="77777777" w:rsidR="001A4598" w:rsidRPr="00B870FA" w:rsidRDefault="001A4598" w:rsidP="00E31957">
            <w:pPr>
              <w:tabs>
                <w:tab w:val="right" w:pos="9639"/>
              </w:tabs>
              <w:spacing w:line="276" w:lineRule="auto"/>
              <w:jc w:val="right"/>
              <w:rPr>
                <w:rFonts w:ascii="Georgia" w:hAnsi="Georgia"/>
                <w:sz w:val="16"/>
                <w:szCs w:val="16"/>
              </w:rPr>
            </w:pPr>
            <w:r w:rsidRPr="00B870FA">
              <w:rPr>
                <w:rFonts w:ascii="Georgia" w:hAnsi="Georgia"/>
                <w:sz w:val="16"/>
                <w:szCs w:val="16"/>
              </w:rPr>
              <w:t>Lower Saxony</w:t>
            </w:r>
          </w:p>
        </w:tc>
        <w:tc>
          <w:tcPr>
            <w:tcW w:w="3118" w:type="dxa"/>
          </w:tcPr>
          <w:p w14:paraId="28AA9337"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c>
          <w:tcPr>
            <w:tcW w:w="2867" w:type="dxa"/>
          </w:tcPr>
          <w:p w14:paraId="32DE7DB2"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r>
      <w:tr w:rsidR="001A4598" w:rsidRPr="00B870FA" w14:paraId="2137A9D3" w14:textId="77777777" w:rsidTr="00B870FA">
        <w:tc>
          <w:tcPr>
            <w:cnfStyle w:val="001000000000" w:firstRow="0" w:lastRow="0" w:firstColumn="1" w:lastColumn="0" w:oddVBand="0" w:evenVBand="0" w:oddHBand="0" w:evenHBand="0" w:firstRowFirstColumn="0" w:firstRowLastColumn="0" w:lastRowFirstColumn="0" w:lastRowLastColumn="0"/>
            <w:tcW w:w="3794" w:type="dxa"/>
          </w:tcPr>
          <w:p w14:paraId="4CB4F565" w14:textId="77777777" w:rsidR="001A4598" w:rsidRPr="00B870FA" w:rsidRDefault="001A4598" w:rsidP="00E31957">
            <w:pPr>
              <w:tabs>
                <w:tab w:val="right" w:pos="9639"/>
              </w:tabs>
              <w:spacing w:line="276" w:lineRule="auto"/>
              <w:jc w:val="right"/>
              <w:rPr>
                <w:rFonts w:ascii="Georgia" w:hAnsi="Georgia"/>
                <w:sz w:val="16"/>
                <w:szCs w:val="16"/>
              </w:rPr>
            </w:pPr>
            <w:r w:rsidRPr="00B870FA">
              <w:rPr>
                <w:rFonts w:ascii="Georgia" w:hAnsi="Georgia"/>
                <w:sz w:val="16"/>
                <w:szCs w:val="16"/>
              </w:rPr>
              <w:t>Hamburg</w:t>
            </w:r>
          </w:p>
        </w:tc>
        <w:tc>
          <w:tcPr>
            <w:tcW w:w="3118" w:type="dxa"/>
          </w:tcPr>
          <w:p w14:paraId="553712A9" w14:textId="77777777" w:rsidR="001A4598" w:rsidRPr="00B870FA" w:rsidRDefault="001A459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c>
          <w:tcPr>
            <w:tcW w:w="2867" w:type="dxa"/>
          </w:tcPr>
          <w:p w14:paraId="3CD3B79C" w14:textId="77777777" w:rsidR="001A4598" w:rsidRPr="00B870FA" w:rsidRDefault="001A459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r>
      <w:tr w:rsidR="001A4598" w:rsidRPr="00B870FA" w14:paraId="793AD7C4" w14:textId="77777777" w:rsidTr="00B8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F7AC86F" w14:textId="77777777" w:rsidR="001A4598" w:rsidRPr="00B870FA" w:rsidRDefault="001A4598" w:rsidP="00E31957">
            <w:pPr>
              <w:tabs>
                <w:tab w:val="right" w:pos="9639"/>
              </w:tabs>
              <w:spacing w:line="276" w:lineRule="auto"/>
              <w:jc w:val="right"/>
              <w:rPr>
                <w:rFonts w:ascii="Georgia" w:hAnsi="Georgia"/>
                <w:b w:val="0"/>
                <w:bCs w:val="0"/>
                <w:sz w:val="16"/>
                <w:szCs w:val="16"/>
              </w:rPr>
            </w:pPr>
          </w:p>
          <w:p w14:paraId="546840C9" w14:textId="77777777" w:rsidR="001A4598" w:rsidRPr="00B870FA" w:rsidRDefault="001A4598" w:rsidP="00E31957">
            <w:pPr>
              <w:tabs>
                <w:tab w:val="right" w:pos="9639"/>
              </w:tabs>
              <w:spacing w:line="276" w:lineRule="auto"/>
              <w:jc w:val="right"/>
              <w:rPr>
                <w:rFonts w:ascii="Georgia" w:hAnsi="Georgia"/>
                <w:sz w:val="16"/>
                <w:szCs w:val="16"/>
              </w:rPr>
            </w:pPr>
            <w:r w:rsidRPr="00B870FA">
              <w:rPr>
                <w:rFonts w:ascii="Georgia" w:hAnsi="Georgia"/>
                <w:sz w:val="16"/>
                <w:szCs w:val="16"/>
              </w:rPr>
              <w:t>Schleswig-Holstein</w:t>
            </w:r>
          </w:p>
        </w:tc>
        <w:tc>
          <w:tcPr>
            <w:tcW w:w="3118" w:type="dxa"/>
          </w:tcPr>
          <w:p w14:paraId="3E8A3F9A"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c>
          <w:tcPr>
            <w:tcW w:w="2867" w:type="dxa"/>
          </w:tcPr>
          <w:p w14:paraId="58B6D5F4" w14:textId="77777777" w:rsidR="001A4598" w:rsidRPr="00B870FA" w:rsidRDefault="001A4598" w:rsidP="00E31957">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B870FA">
              <w:rPr>
                <w:rFonts w:ascii="Georgia" w:hAnsi="Georgia"/>
                <w:sz w:val="16"/>
                <w:szCs w:val="16"/>
              </w:rPr>
              <w:t>Yes, permit issued before World Heritage nomination.</w:t>
            </w:r>
          </w:p>
        </w:tc>
      </w:tr>
      <w:tr w:rsidR="001A4598" w:rsidRPr="00B870FA" w14:paraId="11A9B76A" w14:textId="77777777" w:rsidTr="00B870FA">
        <w:tc>
          <w:tcPr>
            <w:cnfStyle w:val="001000000000" w:firstRow="0" w:lastRow="0" w:firstColumn="1" w:lastColumn="0" w:oddVBand="0" w:evenVBand="0" w:oddHBand="0" w:evenHBand="0" w:firstRowFirstColumn="0" w:firstRowLastColumn="0" w:lastRowFirstColumn="0" w:lastRowLastColumn="0"/>
            <w:tcW w:w="3794" w:type="dxa"/>
          </w:tcPr>
          <w:p w14:paraId="61746A25" w14:textId="77777777" w:rsidR="001A4598" w:rsidRPr="00B870FA" w:rsidRDefault="001A4598" w:rsidP="00E31957">
            <w:pPr>
              <w:tabs>
                <w:tab w:val="right" w:pos="9639"/>
              </w:tabs>
              <w:spacing w:line="276" w:lineRule="auto"/>
              <w:jc w:val="right"/>
              <w:rPr>
                <w:rFonts w:ascii="Georgia" w:hAnsi="Georgia"/>
                <w:sz w:val="16"/>
                <w:szCs w:val="16"/>
              </w:rPr>
            </w:pPr>
            <w:r w:rsidRPr="00B870FA">
              <w:rPr>
                <w:rFonts w:ascii="Georgia" w:hAnsi="Georgia"/>
                <w:sz w:val="16"/>
                <w:szCs w:val="16"/>
              </w:rPr>
              <w:t>Denmark</w:t>
            </w:r>
          </w:p>
        </w:tc>
        <w:tc>
          <w:tcPr>
            <w:tcW w:w="3118" w:type="dxa"/>
          </w:tcPr>
          <w:p w14:paraId="4A18F5AB" w14:textId="77777777" w:rsidR="001A4598" w:rsidRPr="00B870FA" w:rsidRDefault="001A459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c>
          <w:tcPr>
            <w:tcW w:w="2867" w:type="dxa"/>
          </w:tcPr>
          <w:p w14:paraId="3A956E00" w14:textId="77777777" w:rsidR="001A4598" w:rsidRPr="00B870FA" w:rsidRDefault="001A4598" w:rsidP="00E31957">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B870FA">
              <w:rPr>
                <w:rFonts w:ascii="Georgia" w:hAnsi="Georgia"/>
                <w:sz w:val="16"/>
                <w:szCs w:val="16"/>
              </w:rPr>
              <w:t>No</w:t>
            </w:r>
          </w:p>
        </w:tc>
      </w:tr>
    </w:tbl>
    <w:p w14:paraId="27F09577" w14:textId="07E520B4" w:rsidR="001A4598" w:rsidRDefault="001A4598" w:rsidP="008561DC">
      <w:pPr>
        <w:spacing w:after="200" w:line="276" w:lineRule="auto"/>
        <w:rPr>
          <w:rFonts w:ascii="Georgia" w:hAnsi="Georgia"/>
          <w:sz w:val="20"/>
          <w:szCs w:val="20"/>
          <w:u w:val="single"/>
        </w:rPr>
      </w:pPr>
    </w:p>
    <w:p w14:paraId="593C08CD" w14:textId="77777777" w:rsidR="00CF2A42" w:rsidRDefault="00CF2A42" w:rsidP="00CF2A42">
      <w:pPr>
        <w:spacing w:line="276" w:lineRule="auto"/>
        <w:rPr>
          <w:rFonts w:ascii="Georgia" w:hAnsi="Georgia"/>
          <w:sz w:val="20"/>
          <w:szCs w:val="20"/>
          <w:highlight w:val="darkGray"/>
          <w:u w:val="single"/>
        </w:rPr>
      </w:pPr>
      <w:r>
        <w:rPr>
          <w:rFonts w:ascii="Georgia" w:hAnsi="Georgia"/>
          <w:noProof/>
          <w:sz w:val="20"/>
          <w:szCs w:val="20"/>
        </w:rPr>
        <w:drawing>
          <wp:inline distT="0" distB="0" distL="0" distR="0" wp14:anchorId="062DC3FB" wp14:editId="7474149C">
            <wp:extent cx="6109335" cy="5627370"/>
            <wp:effectExtent l="0" t="0" r="571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335" cy="5627370"/>
                    </a:xfrm>
                    <a:prstGeom prst="rect">
                      <a:avLst/>
                    </a:prstGeom>
                    <a:noFill/>
                    <a:ln>
                      <a:noFill/>
                    </a:ln>
                  </pic:spPr>
                </pic:pic>
              </a:graphicData>
            </a:graphic>
          </wp:inline>
        </w:drawing>
      </w:r>
    </w:p>
    <w:p w14:paraId="4C77D72A" w14:textId="7EF6A1D5" w:rsidR="00CF2A42" w:rsidRPr="00CF2A42" w:rsidRDefault="00CF2A42" w:rsidP="001A4598">
      <w:pPr>
        <w:spacing w:after="200" w:line="276" w:lineRule="auto"/>
        <w:rPr>
          <w:rFonts w:ascii="Georgia" w:hAnsi="Georgia"/>
          <w:sz w:val="16"/>
          <w:szCs w:val="16"/>
        </w:rPr>
      </w:pPr>
      <w:r w:rsidRPr="00C62064">
        <w:rPr>
          <w:rFonts w:ascii="Georgia" w:hAnsi="Georgia"/>
          <w:b/>
          <w:bCs/>
          <w:sz w:val="16"/>
          <w:szCs w:val="16"/>
        </w:rPr>
        <w:t xml:space="preserve">Figure </w:t>
      </w:r>
      <w:r w:rsidR="00B466A5" w:rsidRPr="00C62064">
        <w:rPr>
          <w:rFonts w:ascii="Georgia" w:hAnsi="Georgia"/>
          <w:b/>
          <w:bCs/>
          <w:sz w:val="16"/>
          <w:szCs w:val="16"/>
        </w:rPr>
        <w:t>3</w:t>
      </w:r>
      <w:r w:rsidRPr="00C62064">
        <w:rPr>
          <w:rFonts w:ascii="Georgia" w:hAnsi="Georgia"/>
          <w:b/>
          <w:bCs/>
          <w:sz w:val="16"/>
          <w:szCs w:val="16"/>
        </w:rPr>
        <w:t>.</w:t>
      </w:r>
      <w:r w:rsidR="00B466A5">
        <w:rPr>
          <w:rFonts w:ascii="Georgia" w:hAnsi="Georgia"/>
          <w:sz w:val="16"/>
          <w:szCs w:val="16"/>
        </w:rPr>
        <w:t xml:space="preserve"> Gas and oil exploitation sites and pipes.</w:t>
      </w:r>
      <w:r>
        <w:rPr>
          <w:rFonts w:ascii="Georgia" w:hAnsi="Georgia"/>
          <w:sz w:val="16"/>
          <w:szCs w:val="16"/>
        </w:rPr>
        <w:t xml:space="preserve"> </w:t>
      </w:r>
      <w:r w:rsidR="00917DB4">
        <w:rPr>
          <w:rFonts w:ascii="Georgia" w:hAnsi="Georgia"/>
          <w:sz w:val="16"/>
          <w:szCs w:val="16"/>
          <w:highlight w:val="yellow"/>
        </w:rPr>
        <w:t>Needs u</w:t>
      </w:r>
      <w:r w:rsidRPr="00B466A5">
        <w:rPr>
          <w:rFonts w:ascii="Georgia" w:hAnsi="Georgia"/>
          <w:sz w:val="16"/>
          <w:szCs w:val="16"/>
          <w:highlight w:val="yellow"/>
        </w:rPr>
        <w:t>pdat</w:t>
      </w:r>
      <w:r w:rsidR="00917DB4">
        <w:rPr>
          <w:rFonts w:ascii="Georgia" w:hAnsi="Georgia"/>
          <w:sz w:val="16"/>
          <w:szCs w:val="16"/>
          <w:highlight w:val="yellow"/>
        </w:rPr>
        <w:t>e</w:t>
      </w:r>
      <w:r w:rsidR="00B466A5" w:rsidRPr="00B466A5">
        <w:rPr>
          <w:rFonts w:ascii="Georgia" w:hAnsi="Georgia"/>
          <w:sz w:val="16"/>
          <w:szCs w:val="16"/>
          <w:highlight w:val="yellow"/>
        </w:rPr>
        <w:t>?</w:t>
      </w:r>
    </w:p>
    <w:p w14:paraId="47777CCA" w14:textId="77777777" w:rsidR="00964692" w:rsidRDefault="00964692" w:rsidP="00B870FA">
      <w:pPr>
        <w:spacing w:line="276" w:lineRule="auto"/>
        <w:rPr>
          <w:rFonts w:ascii="Georgia" w:hAnsi="Georgia"/>
          <w:sz w:val="20"/>
          <w:szCs w:val="20"/>
          <w:u w:val="single"/>
        </w:rPr>
      </w:pPr>
    </w:p>
    <w:p w14:paraId="35DBB0B8" w14:textId="77777777" w:rsidR="00964692" w:rsidRDefault="00964692" w:rsidP="00B870FA">
      <w:pPr>
        <w:spacing w:line="276" w:lineRule="auto"/>
        <w:rPr>
          <w:rFonts w:ascii="Georgia" w:hAnsi="Georgia"/>
          <w:sz w:val="20"/>
          <w:szCs w:val="20"/>
          <w:u w:val="single"/>
        </w:rPr>
      </w:pPr>
    </w:p>
    <w:p w14:paraId="3AF34373" w14:textId="4DFB1EDC" w:rsidR="001A4598" w:rsidRDefault="001A4598" w:rsidP="00B870FA">
      <w:pPr>
        <w:spacing w:line="276" w:lineRule="auto"/>
        <w:rPr>
          <w:rFonts w:ascii="Georgia" w:hAnsi="Georgia"/>
          <w:sz w:val="20"/>
          <w:szCs w:val="20"/>
          <w:u w:val="single"/>
        </w:rPr>
      </w:pPr>
      <w:r>
        <w:rPr>
          <w:rFonts w:ascii="Georgia" w:hAnsi="Georgia"/>
          <w:sz w:val="20"/>
          <w:szCs w:val="20"/>
          <w:u w:val="single"/>
        </w:rPr>
        <w:lastRenderedPageBreak/>
        <w:t>Common ground</w:t>
      </w:r>
    </w:p>
    <w:p w14:paraId="4FB0BC0F" w14:textId="771093D5" w:rsidR="00B870FA" w:rsidRDefault="009377EB" w:rsidP="00B870FA">
      <w:pPr>
        <w:autoSpaceDE w:val="0"/>
        <w:autoSpaceDN w:val="0"/>
        <w:adjustRightInd w:val="0"/>
        <w:rPr>
          <w:rFonts w:ascii="Georgia" w:eastAsiaTheme="minorHAnsi" w:hAnsi="Georgia" w:cs="RotisSansSerif"/>
          <w:sz w:val="20"/>
          <w:szCs w:val="20"/>
        </w:rPr>
      </w:pPr>
      <w:r>
        <w:rPr>
          <w:rFonts w:ascii="Georgia" w:eastAsiaTheme="minorHAnsi" w:hAnsi="Georgia" w:cs="RotisSansSerif"/>
          <w:sz w:val="20"/>
          <w:szCs w:val="20"/>
        </w:rPr>
        <w:t>T</w:t>
      </w:r>
      <w:r w:rsidR="00B870FA">
        <w:rPr>
          <w:rFonts w:ascii="Georgia" w:eastAsiaTheme="minorHAnsi" w:hAnsi="Georgia" w:cs="RotisSansSerif"/>
          <w:sz w:val="20"/>
          <w:szCs w:val="20"/>
        </w:rPr>
        <w:t>rilateral</w:t>
      </w:r>
      <w:r w:rsidR="00B870FA" w:rsidRPr="00F55AD6">
        <w:rPr>
          <w:rFonts w:ascii="Georgia" w:eastAsiaTheme="minorHAnsi" w:hAnsi="Georgia" w:cs="RotisSansSerif"/>
          <w:sz w:val="20"/>
          <w:szCs w:val="20"/>
        </w:rPr>
        <w:t xml:space="preserve"> agreements:</w:t>
      </w:r>
    </w:p>
    <w:p w14:paraId="63A49CAE" w14:textId="77777777" w:rsidR="00A55EDE" w:rsidRDefault="00A55EDE" w:rsidP="00B870FA">
      <w:pPr>
        <w:autoSpaceDE w:val="0"/>
        <w:autoSpaceDN w:val="0"/>
        <w:adjustRightInd w:val="0"/>
        <w:rPr>
          <w:rFonts w:ascii="Georgia" w:eastAsiaTheme="minorHAnsi" w:hAnsi="Georgia" w:cs="RotisSansSerif"/>
          <w:sz w:val="20"/>
          <w:szCs w:val="20"/>
        </w:rPr>
      </w:pPr>
    </w:p>
    <w:p w14:paraId="3D06FE17" w14:textId="74B0DCA6" w:rsidR="00A55EDE" w:rsidRDefault="00EC7B6F" w:rsidP="00306100">
      <w:pPr>
        <w:pStyle w:val="Listenabsatz"/>
        <w:numPr>
          <w:ilvl w:val="0"/>
          <w:numId w:val="5"/>
        </w:numPr>
        <w:autoSpaceDE w:val="0"/>
        <w:autoSpaceDN w:val="0"/>
        <w:adjustRightInd w:val="0"/>
        <w:rPr>
          <w:rFonts w:ascii="Georgia" w:eastAsiaTheme="minorHAnsi" w:hAnsi="Georgia" w:cs="RotisSansSerif"/>
          <w:sz w:val="20"/>
          <w:szCs w:val="20"/>
        </w:rPr>
      </w:pPr>
      <w:r w:rsidRPr="00EC7B6F">
        <w:rPr>
          <w:rFonts w:ascii="Georgia" w:eastAsiaTheme="minorHAnsi" w:hAnsi="Georgia" w:cs="RotisSansSerif"/>
          <w:sz w:val="20"/>
          <w:szCs w:val="20"/>
        </w:rPr>
        <w:t>In the Nature Conservation Area, new exploitation installations for oil and gas will not be permitted</w:t>
      </w:r>
      <w:r w:rsidR="009377EB">
        <w:rPr>
          <w:rFonts w:ascii="Georgia" w:eastAsiaTheme="minorHAnsi" w:hAnsi="Georgia" w:cs="RotisSansSerif"/>
          <w:sz w:val="20"/>
          <w:szCs w:val="20"/>
        </w:rPr>
        <w:t xml:space="preserve"> (WSP, 2010)</w:t>
      </w:r>
      <w:r w:rsidRPr="00EC7B6F">
        <w:rPr>
          <w:rFonts w:ascii="Georgia" w:eastAsiaTheme="minorHAnsi" w:hAnsi="Georgia" w:cs="RotisSansSerif"/>
          <w:sz w:val="20"/>
          <w:szCs w:val="20"/>
        </w:rPr>
        <w:t xml:space="preserve">. </w:t>
      </w:r>
    </w:p>
    <w:p w14:paraId="70C71FC8" w14:textId="77777777" w:rsidR="00A55EDE" w:rsidRPr="00A55EDE" w:rsidRDefault="00A55EDE" w:rsidP="00A55EDE">
      <w:pPr>
        <w:autoSpaceDE w:val="0"/>
        <w:autoSpaceDN w:val="0"/>
        <w:adjustRightInd w:val="0"/>
        <w:ind w:left="360"/>
        <w:rPr>
          <w:rFonts w:ascii="Georgia" w:eastAsiaTheme="minorHAnsi" w:hAnsi="Georgia" w:cs="RotisSansSerif"/>
          <w:sz w:val="20"/>
          <w:szCs w:val="20"/>
        </w:rPr>
      </w:pPr>
    </w:p>
    <w:p w14:paraId="642930DE" w14:textId="46A28D92" w:rsidR="009377EB" w:rsidRDefault="009377EB" w:rsidP="00A55EDE">
      <w:pPr>
        <w:autoSpaceDE w:val="0"/>
        <w:autoSpaceDN w:val="0"/>
        <w:adjustRightInd w:val="0"/>
        <w:rPr>
          <w:rFonts w:ascii="RotisSansSerif" w:eastAsiaTheme="minorHAnsi" w:hAnsi="RotisSansSerif" w:cs="RotisSansSerif"/>
          <w:sz w:val="20"/>
          <w:szCs w:val="20"/>
          <w:lang w:val="en-GB"/>
        </w:rPr>
      </w:pPr>
      <w:r>
        <w:rPr>
          <w:rFonts w:ascii="Georgia" w:eastAsiaTheme="minorHAnsi" w:hAnsi="Georgia" w:cs="RotisSansSerif"/>
          <w:sz w:val="20"/>
          <w:szCs w:val="20"/>
        </w:rPr>
        <w:t>“</w:t>
      </w:r>
      <w:r w:rsidR="00EC7B6F" w:rsidRPr="00A55EDE">
        <w:rPr>
          <w:rFonts w:ascii="Georgia" w:eastAsiaTheme="minorHAnsi" w:hAnsi="Georgia" w:cs="RotisSansSerif"/>
          <w:sz w:val="20"/>
          <w:szCs w:val="20"/>
        </w:rPr>
        <w:t>For the area of the World Heritage property, Germany and The Netherlands have confirmed their commitment not to explore and extract oil and gas at locations within the revised boundaries of the nominated property in line with law in force</w:t>
      </w:r>
      <w:r>
        <w:rPr>
          <w:rFonts w:ascii="Georgia" w:eastAsiaTheme="minorHAnsi" w:hAnsi="Georgia" w:cs="RotisSansSerif"/>
          <w:sz w:val="20"/>
          <w:szCs w:val="20"/>
        </w:rPr>
        <w:t>”</w:t>
      </w:r>
      <w:r w:rsidR="00A55EDE">
        <w:rPr>
          <w:rFonts w:ascii="Georgia" w:eastAsiaTheme="minorHAnsi" w:hAnsi="Georgia" w:cs="RotisSansSerif"/>
          <w:sz w:val="20"/>
          <w:szCs w:val="20"/>
        </w:rPr>
        <w:t xml:space="preserve"> (WSP, 2010)</w:t>
      </w:r>
      <w:r w:rsidR="00EC7B6F" w:rsidRPr="00A55EDE">
        <w:rPr>
          <w:rFonts w:ascii="Georgia" w:eastAsiaTheme="minorHAnsi" w:hAnsi="Georgia" w:cs="RotisSansSerif"/>
          <w:sz w:val="20"/>
          <w:szCs w:val="20"/>
        </w:rPr>
        <w:t>.</w:t>
      </w:r>
      <w:r w:rsidR="00A55EDE" w:rsidRPr="00A55EDE">
        <w:rPr>
          <w:rFonts w:ascii="Georgia" w:eastAsiaTheme="minorHAnsi" w:hAnsi="Georgia" w:cs="RotisSansSerif"/>
          <w:sz w:val="20"/>
          <w:szCs w:val="20"/>
        </w:rPr>
        <w:t xml:space="preserve"> </w:t>
      </w:r>
      <w:r w:rsidR="00127A4A">
        <w:rPr>
          <w:rFonts w:ascii="Georgia" w:eastAsiaTheme="minorHAnsi" w:hAnsi="Georgia" w:cs="RotisSansSerif"/>
          <w:sz w:val="20"/>
          <w:szCs w:val="20"/>
        </w:rPr>
        <w:t xml:space="preserve">In Denmark, </w:t>
      </w:r>
      <w:r>
        <w:rPr>
          <w:rFonts w:ascii="Georgia" w:eastAsiaTheme="minorHAnsi" w:hAnsi="Georgia" w:cs="RotisSansSerif"/>
          <w:sz w:val="20"/>
          <w:szCs w:val="20"/>
        </w:rPr>
        <w:t>“</w:t>
      </w:r>
      <w:r w:rsidR="00127A4A">
        <w:rPr>
          <w:rFonts w:ascii="Georgia" w:eastAsiaTheme="minorHAnsi" w:hAnsi="Georgia" w:cs="RotisSansSerif"/>
          <w:sz w:val="20"/>
          <w:szCs w:val="20"/>
        </w:rPr>
        <w:t>e</w:t>
      </w:r>
      <w:r w:rsidR="00A55EDE" w:rsidRPr="00A55EDE">
        <w:rPr>
          <w:rFonts w:ascii="Georgia" w:eastAsiaTheme="minorHAnsi" w:hAnsi="Georgia" w:cs="RotisSansSerif"/>
          <w:sz w:val="20"/>
          <w:szCs w:val="20"/>
        </w:rPr>
        <w:t>xploration and exploitation of gas and oil in</w:t>
      </w:r>
      <w:r w:rsidR="00A55EDE" w:rsidRPr="00A55EDE">
        <w:rPr>
          <w:rFonts w:ascii="Georgia" w:eastAsiaTheme="minorHAnsi" w:hAnsi="Georgia" w:cs="RotisSansSerif"/>
          <w:sz w:val="20"/>
          <w:szCs w:val="20"/>
        </w:rPr>
        <w:softHyphen/>
        <w:t>cluding seismic investigations is prohibited in the nominated property according to the Statutory Order on the Nature and Wildlife Reserve Wad</w:t>
      </w:r>
      <w:r w:rsidR="00A55EDE" w:rsidRPr="00A55EDE">
        <w:rPr>
          <w:rFonts w:ascii="Georgia" w:eastAsiaTheme="minorHAnsi" w:hAnsi="Georgia" w:cs="RotisSansSerif"/>
          <w:sz w:val="20"/>
          <w:szCs w:val="20"/>
        </w:rPr>
        <w:softHyphen/>
        <w:t>den Sea</w:t>
      </w:r>
      <w:r>
        <w:rPr>
          <w:rFonts w:ascii="Georgia" w:eastAsiaTheme="minorHAnsi" w:hAnsi="Georgia" w:cs="RotisSansSerif"/>
          <w:sz w:val="20"/>
          <w:szCs w:val="20"/>
        </w:rPr>
        <w:t>”</w:t>
      </w:r>
      <w:r w:rsidR="00A55EDE">
        <w:rPr>
          <w:rFonts w:ascii="Georgia" w:eastAsiaTheme="minorHAnsi" w:hAnsi="Georgia" w:cs="RotisSansSerif"/>
          <w:sz w:val="20"/>
          <w:szCs w:val="20"/>
        </w:rPr>
        <w:t xml:space="preserve"> (Nomination Dossier, 2012)</w:t>
      </w:r>
      <w:r w:rsidR="00A55EDE" w:rsidRPr="00A55EDE">
        <w:rPr>
          <w:rFonts w:ascii="Georgia" w:eastAsiaTheme="minorHAnsi" w:hAnsi="Georgia" w:cs="RotisSansSerif"/>
          <w:sz w:val="20"/>
          <w:szCs w:val="20"/>
        </w:rPr>
        <w:t>.</w:t>
      </w:r>
      <w:r w:rsidRPr="009377EB">
        <w:rPr>
          <w:rFonts w:ascii="RotisSansSerif" w:eastAsiaTheme="minorHAnsi" w:hAnsi="RotisSansSerif" w:cs="RotisSansSerif"/>
          <w:sz w:val="20"/>
          <w:szCs w:val="20"/>
          <w:lang w:val="en-GB"/>
        </w:rPr>
        <w:t xml:space="preserve"> </w:t>
      </w:r>
    </w:p>
    <w:p w14:paraId="35B5828D" w14:textId="77777777" w:rsidR="009377EB" w:rsidRDefault="009377EB" w:rsidP="00A55EDE">
      <w:pPr>
        <w:autoSpaceDE w:val="0"/>
        <w:autoSpaceDN w:val="0"/>
        <w:adjustRightInd w:val="0"/>
        <w:rPr>
          <w:rFonts w:ascii="RotisSansSerif" w:eastAsiaTheme="minorHAnsi" w:hAnsi="RotisSansSerif" w:cs="RotisSansSerif"/>
          <w:sz w:val="20"/>
          <w:szCs w:val="20"/>
          <w:lang w:val="en-GB"/>
        </w:rPr>
      </w:pPr>
    </w:p>
    <w:p w14:paraId="431B099A" w14:textId="686C2740" w:rsidR="009377EB" w:rsidRDefault="009377EB" w:rsidP="009377EB">
      <w:pPr>
        <w:pStyle w:val="Listenabsatz"/>
        <w:numPr>
          <w:ilvl w:val="0"/>
          <w:numId w:val="5"/>
        </w:numPr>
        <w:autoSpaceDE w:val="0"/>
        <w:autoSpaceDN w:val="0"/>
        <w:adjustRightInd w:val="0"/>
        <w:rPr>
          <w:rFonts w:ascii="Georgia" w:eastAsiaTheme="minorHAnsi" w:hAnsi="Georgia" w:cs="RotisSansSerif"/>
          <w:sz w:val="20"/>
          <w:szCs w:val="20"/>
        </w:rPr>
      </w:pPr>
      <w:r>
        <w:rPr>
          <w:rFonts w:ascii="Georgia" w:eastAsiaTheme="minorHAnsi" w:hAnsi="Georgia" w:cs="RotisSansSerif"/>
          <w:sz w:val="20"/>
          <w:szCs w:val="20"/>
        </w:rPr>
        <w:t>“</w:t>
      </w:r>
      <w:r w:rsidRPr="00B870FA">
        <w:rPr>
          <w:rFonts w:ascii="Georgia" w:eastAsiaTheme="minorHAnsi" w:hAnsi="Georgia" w:cs="RotisSansSerif"/>
          <w:sz w:val="20"/>
          <w:szCs w:val="20"/>
        </w:rPr>
        <w:t>New licenses for the construction of pipelines in the salt marshes for the transport of gas and oil shall not be issued unless in the absence of alternative solutions, a plan or project must nevertheless be carried out for imperative reasons of overriding</w:t>
      </w:r>
      <w:r>
        <w:rPr>
          <w:rFonts w:ascii="Georgia" w:eastAsiaTheme="minorHAnsi" w:hAnsi="Georgia" w:cs="RotisSansSerif"/>
          <w:sz w:val="20"/>
          <w:szCs w:val="20"/>
        </w:rPr>
        <w:t xml:space="preserve"> </w:t>
      </w:r>
      <w:r w:rsidRPr="00B870FA">
        <w:rPr>
          <w:rFonts w:ascii="Georgia" w:eastAsiaTheme="minorHAnsi" w:hAnsi="Georgia" w:cs="RotisSansSerif"/>
          <w:sz w:val="20"/>
          <w:szCs w:val="20"/>
        </w:rPr>
        <w:t>public interest including those of a social or economic nature.</w:t>
      </w:r>
    </w:p>
    <w:p w14:paraId="33CD2BCF" w14:textId="77777777" w:rsidR="009377EB" w:rsidRPr="00917DB4" w:rsidRDefault="009377EB" w:rsidP="009377EB">
      <w:pPr>
        <w:pStyle w:val="Listenabsatz"/>
        <w:numPr>
          <w:ilvl w:val="0"/>
          <w:numId w:val="5"/>
        </w:numPr>
        <w:autoSpaceDE w:val="0"/>
        <w:autoSpaceDN w:val="0"/>
        <w:adjustRightInd w:val="0"/>
        <w:rPr>
          <w:rFonts w:ascii="Georgia" w:eastAsiaTheme="minorHAnsi" w:hAnsi="Georgia" w:cs="RotisSansSerif"/>
          <w:sz w:val="20"/>
          <w:szCs w:val="20"/>
        </w:rPr>
      </w:pPr>
      <w:r w:rsidRPr="00122938">
        <w:rPr>
          <w:rFonts w:ascii="Georgia" w:eastAsiaTheme="minorHAnsi" w:hAnsi="Georgia" w:cs="RotisSansSerif"/>
          <w:sz w:val="20"/>
          <w:szCs w:val="20"/>
        </w:rPr>
        <w:t xml:space="preserve">The exploration and exploitation of the energy resources in the North Sea, as well as in the Wadden Sea Area, </w:t>
      </w:r>
      <w:proofErr w:type="gramStart"/>
      <w:r w:rsidRPr="00122938">
        <w:rPr>
          <w:rFonts w:ascii="Georgia" w:eastAsiaTheme="minorHAnsi" w:hAnsi="Georgia" w:cs="RotisSansSerif"/>
          <w:sz w:val="20"/>
          <w:szCs w:val="20"/>
        </w:rPr>
        <w:t>has to</w:t>
      </w:r>
      <w:proofErr w:type="gramEnd"/>
      <w:r w:rsidRPr="00122938">
        <w:rPr>
          <w:rFonts w:ascii="Georgia" w:eastAsiaTheme="minorHAnsi" w:hAnsi="Georgia" w:cs="RotisSansSerif"/>
          <w:sz w:val="20"/>
          <w:szCs w:val="20"/>
        </w:rPr>
        <w:t xml:space="preserve"> comply, at least, with the </w:t>
      </w:r>
      <w:r w:rsidRPr="00917DB4">
        <w:rPr>
          <w:rFonts w:ascii="Georgia" w:eastAsiaTheme="minorHAnsi" w:hAnsi="Georgia" w:cs="RotisSansSerif"/>
          <w:sz w:val="20"/>
          <w:szCs w:val="20"/>
        </w:rPr>
        <w:t xml:space="preserve">international agreements in the appropriate fora. This results </w:t>
      </w:r>
      <w:r w:rsidRPr="00917DB4">
        <w:rPr>
          <w:rFonts w:ascii="Georgia" w:eastAsiaTheme="minorHAnsi" w:hAnsi="Georgia" w:cs="RotisSansSerif"/>
          <w:i/>
          <w:iCs/>
          <w:sz w:val="20"/>
          <w:szCs w:val="20"/>
        </w:rPr>
        <w:t>inter alia</w:t>
      </w:r>
      <w:r w:rsidRPr="00917DB4">
        <w:rPr>
          <w:rFonts w:ascii="Georgia" w:eastAsiaTheme="minorHAnsi" w:hAnsi="Georgia" w:cs="RotisSansSerif"/>
          <w:sz w:val="20"/>
          <w:szCs w:val="20"/>
        </w:rPr>
        <w:t xml:space="preserve"> in a prohibition on discharging oil-based muds and cuttings. </w:t>
      </w:r>
      <w:r w:rsidRPr="00917DB4">
        <w:rPr>
          <w:rFonts w:ascii="Georgia" w:eastAsiaTheme="minorHAnsi" w:hAnsi="Georgia" w:cs="RotisSansSerif"/>
          <w:i/>
          <w:iCs/>
          <w:sz w:val="20"/>
          <w:szCs w:val="20"/>
        </w:rPr>
        <w:t xml:space="preserve">Dumping or discharge of </w:t>
      </w:r>
      <w:proofErr w:type="gramStart"/>
      <w:r w:rsidRPr="00917DB4">
        <w:rPr>
          <w:rFonts w:ascii="Georgia" w:eastAsiaTheme="minorHAnsi" w:hAnsi="Georgia" w:cs="RotisSansSerif"/>
          <w:i/>
          <w:iCs/>
          <w:sz w:val="20"/>
          <w:szCs w:val="20"/>
        </w:rPr>
        <w:t>water based</w:t>
      </w:r>
      <w:proofErr w:type="gramEnd"/>
      <w:r w:rsidRPr="00917DB4">
        <w:rPr>
          <w:rFonts w:ascii="Georgia" w:eastAsiaTheme="minorHAnsi" w:hAnsi="Georgia" w:cs="RotisSansSerif"/>
          <w:i/>
          <w:iCs/>
          <w:sz w:val="20"/>
          <w:szCs w:val="20"/>
        </w:rPr>
        <w:t xml:space="preserve"> muds and/or cuttings is only allowed in line with relevant OSPAR agreements</w:t>
      </w:r>
      <w:r w:rsidRPr="00917DB4">
        <w:rPr>
          <w:rFonts w:ascii="Georgia" w:eastAsiaTheme="minorHAnsi" w:hAnsi="Georgia" w:cs="RotisSansSerif"/>
          <w:sz w:val="20"/>
          <w:szCs w:val="20"/>
        </w:rPr>
        <w:t>.</w:t>
      </w:r>
    </w:p>
    <w:p w14:paraId="3EE1C115" w14:textId="1B44B3E1" w:rsidR="00A55EDE" w:rsidRPr="00A55EDE" w:rsidRDefault="009377EB" w:rsidP="009377EB">
      <w:pPr>
        <w:pStyle w:val="Listenabsatz"/>
        <w:numPr>
          <w:ilvl w:val="0"/>
          <w:numId w:val="5"/>
        </w:numPr>
        <w:autoSpaceDE w:val="0"/>
        <w:autoSpaceDN w:val="0"/>
        <w:adjustRightInd w:val="0"/>
        <w:rPr>
          <w:rFonts w:ascii="Georgia" w:eastAsiaTheme="minorHAnsi" w:hAnsi="Georgia" w:cs="RotisSansSerif"/>
          <w:sz w:val="20"/>
          <w:szCs w:val="20"/>
        </w:rPr>
      </w:pPr>
      <w:r w:rsidRPr="00917DB4">
        <w:rPr>
          <w:rFonts w:ascii="Georgia" w:eastAsiaTheme="minorHAnsi" w:hAnsi="Georgia" w:cs="RotisSansSerif"/>
          <w:sz w:val="20"/>
          <w:szCs w:val="20"/>
        </w:rPr>
        <w:t>Infrastructural works which are necessary for the supply</w:t>
      </w:r>
      <w:r w:rsidRPr="009377EB">
        <w:rPr>
          <w:rFonts w:ascii="Georgia" w:eastAsiaTheme="minorHAnsi" w:hAnsi="Georgia" w:cs="RotisSansSerif"/>
          <w:sz w:val="20"/>
          <w:szCs w:val="20"/>
        </w:rPr>
        <w:t xml:space="preserve"> of the islands and the </w:t>
      </w:r>
      <w:proofErr w:type="spellStart"/>
      <w:r w:rsidRPr="009377EB">
        <w:rPr>
          <w:rFonts w:ascii="Georgia" w:eastAsiaTheme="minorHAnsi" w:hAnsi="Georgia" w:cs="RotisSansSerif"/>
          <w:sz w:val="20"/>
          <w:szCs w:val="20"/>
        </w:rPr>
        <w:t>Halligen</w:t>
      </w:r>
      <w:proofErr w:type="spellEnd"/>
      <w:r w:rsidRPr="009377EB">
        <w:rPr>
          <w:rFonts w:ascii="Georgia" w:eastAsiaTheme="minorHAnsi" w:hAnsi="Georgia" w:cs="RotisSansSerif"/>
          <w:sz w:val="20"/>
          <w:szCs w:val="20"/>
        </w:rPr>
        <w:t xml:space="preserve"> with, amongst others, gas, water and electricity, or other utilities, shall be carried out in a way that the environmental impact on the Wadden Sea is kept to a minimum and permanent, or long lasting, impacts are avoided.</w:t>
      </w:r>
    </w:p>
    <w:p w14:paraId="4C0591D8" w14:textId="36FABE8C" w:rsidR="001A4598" w:rsidRPr="009377EB" w:rsidRDefault="00122938" w:rsidP="009377EB">
      <w:pPr>
        <w:pStyle w:val="Listenabsatz"/>
        <w:numPr>
          <w:ilvl w:val="0"/>
          <w:numId w:val="5"/>
        </w:numPr>
        <w:autoSpaceDE w:val="0"/>
        <w:autoSpaceDN w:val="0"/>
        <w:adjustRightInd w:val="0"/>
        <w:rPr>
          <w:rFonts w:ascii="Georgia" w:eastAsiaTheme="minorHAnsi" w:hAnsi="Georgia" w:cs="RotisSansSerif"/>
          <w:sz w:val="20"/>
          <w:szCs w:val="20"/>
        </w:rPr>
      </w:pPr>
      <w:r w:rsidRPr="009377EB">
        <w:rPr>
          <w:rFonts w:ascii="Georgia" w:eastAsiaTheme="minorHAnsi" w:hAnsi="Georgia" w:cs="RotisSansSerif"/>
          <w:sz w:val="20"/>
          <w:szCs w:val="20"/>
        </w:rPr>
        <w:t>The construction of pipelines shall be such that the environmental impact on the Wadden Sea ecosystem is kept to a minimum and permanent, or long lasting, negative impacts are avoided, and if this is not possible, compensated. In the Nature Conservation Area, new licenses for the construction of pipelines in the tidal area for the transport of gas and oil shall not be issued unless in the absence of alternative solutions, a plan or project must nevertheless be carried out for imperative reasons of overriding public interest, including those of a social or economic nature</w:t>
      </w:r>
      <w:r w:rsidR="009377EB">
        <w:rPr>
          <w:rFonts w:ascii="Georgia" w:eastAsiaTheme="minorHAnsi" w:hAnsi="Georgia" w:cs="RotisSansSerif"/>
          <w:sz w:val="20"/>
          <w:szCs w:val="20"/>
        </w:rPr>
        <w:t>” (WSP, 2010)</w:t>
      </w:r>
      <w:r w:rsidRPr="009377EB">
        <w:rPr>
          <w:rFonts w:ascii="Georgia" w:eastAsiaTheme="minorHAnsi" w:hAnsi="Georgia" w:cs="RotisSansSerif"/>
          <w:sz w:val="20"/>
          <w:szCs w:val="20"/>
        </w:rPr>
        <w:t>.</w:t>
      </w:r>
    </w:p>
    <w:p w14:paraId="11980320" w14:textId="77777777" w:rsidR="00CF2D42" w:rsidRDefault="00CF2D42" w:rsidP="008561DC">
      <w:pPr>
        <w:spacing w:after="200" w:line="276" w:lineRule="auto"/>
        <w:rPr>
          <w:rFonts w:ascii="Georgia" w:hAnsi="Georgia"/>
          <w:sz w:val="20"/>
          <w:szCs w:val="20"/>
          <w:lang w:val="en-GB"/>
        </w:rPr>
      </w:pPr>
    </w:p>
    <w:p w14:paraId="0A9470FF" w14:textId="32D495F6" w:rsidR="00711925" w:rsidRDefault="00CF2D42" w:rsidP="008561DC">
      <w:pPr>
        <w:spacing w:after="200" w:line="276" w:lineRule="auto"/>
        <w:rPr>
          <w:rFonts w:ascii="Georgia" w:hAnsi="Georgia"/>
          <w:sz w:val="20"/>
          <w:szCs w:val="20"/>
        </w:rPr>
      </w:pPr>
      <w:r>
        <w:rPr>
          <w:rFonts w:ascii="Georgia" w:hAnsi="Georgia"/>
          <w:sz w:val="20"/>
          <w:szCs w:val="20"/>
          <w:lang w:val="en-GB"/>
        </w:rPr>
        <w:t xml:space="preserve">These agreements are backed up with the legal framework presented in </w:t>
      </w:r>
      <w:r>
        <w:rPr>
          <w:rFonts w:ascii="Georgia" w:hAnsi="Georgia"/>
          <w:sz w:val="20"/>
          <w:szCs w:val="20"/>
        </w:rPr>
        <w:t>Table 3</w:t>
      </w:r>
      <w:r w:rsidRPr="007F7201">
        <w:rPr>
          <w:rFonts w:ascii="Georgia" w:hAnsi="Georgia"/>
          <w:sz w:val="20"/>
          <w:szCs w:val="20"/>
        </w:rPr>
        <w:t>.</w:t>
      </w:r>
      <w:r>
        <w:rPr>
          <w:rFonts w:ascii="Georgia" w:hAnsi="Georgia"/>
          <w:sz w:val="20"/>
          <w:szCs w:val="20"/>
        </w:rPr>
        <w:t xml:space="preserve"> </w:t>
      </w:r>
    </w:p>
    <w:p w14:paraId="2089CADF" w14:textId="77777777" w:rsidR="00CF2D42" w:rsidRDefault="00CF2D42" w:rsidP="008561DC">
      <w:pPr>
        <w:spacing w:after="200" w:line="276" w:lineRule="auto"/>
        <w:rPr>
          <w:rFonts w:ascii="Georgia" w:hAnsi="Georgia"/>
          <w:sz w:val="20"/>
          <w:szCs w:val="20"/>
        </w:rPr>
      </w:pPr>
    </w:p>
    <w:p w14:paraId="5D323ADA" w14:textId="765EBAAF" w:rsidR="00CF2D42" w:rsidRPr="00CF2D42" w:rsidRDefault="00CF2D42" w:rsidP="00CF2D42">
      <w:pPr>
        <w:spacing w:line="276" w:lineRule="auto"/>
        <w:rPr>
          <w:rFonts w:ascii="Georgia" w:hAnsi="Georgia"/>
          <w:sz w:val="16"/>
          <w:szCs w:val="16"/>
        </w:rPr>
      </w:pPr>
      <w:r w:rsidRPr="00CF2D42">
        <w:rPr>
          <w:rFonts w:ascii="Georgia" w:hAnsi="Georgia"/>
          <w:b/>
          <w:bCs/>
          <w:sz w:val="16"/>
          <w:szCs w:val="16"/>
        </w:rPr>
        <w:t>Table 3.</w:t>
      </w:r>
      <w:r w:rsidRPr="00CF2D42">
        <w:rPr>
          <w:rFonts w:ascii="Georgia" w:hAnsi="Georgia"/>
          <w:sz w:val="16"/>
          <w:szCs w:val="16"/>
        </w:rPr>
        <w:t xml:space="preserve"> Legal framework that regulates the oil and gas exploitation activities</w:t>
      </w:r>
    </w:p>
    <w:tbl>
      <w:tblPr>
        <w:tblStyle w:val="Gitternetztabelle5dunkelAkzent5"/>
        <w:tblW w:w="0" w:type="auto"/>
        <w:tblLook w:val="04A0" w:firstRow="1" w:lastRow="0" w:firstColumn="1" w:lastColumn="0" w:noHBand="0" w:noVBand="1"/>
      </w:tblPr>
      <w:tblGrid>
        <w:gridCol w:w="2540"/>
        <w:gridCol w:w="2528"/>
        <w:gridCol w:w="2288"/>
        <w:gridCol w:w="2499"/>
      </w:tblGrid>
      <w:tr w:rsidR="00DE4F0B" w:rsidRPr="00122938" w14:paraId="6278E74F" w14:textId="2631661F" w:rsidTr="00B46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7BBF94A4" w14:textId="77777777" w:rsidR="00DE4F0B" w:rsidRPr="00122938" w:rsidRDefault="00DE4F0B" w:rsidP="00711925">
            <w:pPr>
              <w:tabs>
                <w:tab w:val="right" w:pos="9639"/>
              </w:tabs>
              <w:spacing w:line="276" w:lineRule="auto"/>
              <w:jc w:val="center"/>
              <w:rPr>
                <w:rFonts w:ascii="Georgia" w:hAnsi="Georgia"/>
                <w:sz w:val="16"/>
                <w:szCs w:val="16"/>
              </w:rPr>
            </w:pPr>
          </w:p>
        </w:tc>
        <w:tc>
          <w:tcPr>
            <w:tcW w:w="2687" w:type="dxa"/>
          </w:tcPr>
          <w:p w14:paraId="7FB645A5" w14:textId="762C8844" w:rsidR="00DE4F0B" w:rsidRPr="00122938" w:rsidRDefault="00DE4F0B" w:rsidP="00711925">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 xml:space="preserve">Legal </w:t>
            </w:r>
            <w:r w:rsidR="00054CC3" w:rsidRPr="00122938">
              <w:rPr>
                <w:rFonts w:ascii="Georgia" w:hAnsi="Georgia"/>
                <w:sz w:val="16"/>
                <w:szCs w:val="16"/>
              </w:rPr>
              <w:t>framework</w:t>
            </w:r>
          </w:p>
        </w:tc>
        <w:tc>
          <w:tcPr>
            <w:tcW w:w="1819" w:type="dxa"/>
          </w:tcPr>
          <w:p w14:paraId="0E9AC4B4" w14:textId="6D4ED749" w:rsidR="00DE4F0B" w:rsidRPr="00122938" w:rsidRDefault="00DE4F0B" w:rsidP="00711925">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Governance/Responsible Authority to grant permits</w:t>
            </w:r>
          </w:p>
        </w:tc>
        <w:tc>
          <w:tcPr>
            <w:tcW w:w="2659" w:type="dxa"/>
          </w:tcPr>
          <w:p w14:paraId="50276949" w14:textId="1B17A482" w:rsidR="00DE4F0B" w:rsidRPr="00122938" w:rsidRDefault="00DE4F0B" w:rsidP="00711925">
            <w:pPr>
              <w:tabs>
                <w:tab w:val="right" w:pos="9639"/>
              </w:tabs>
              <w:spacing w:line="276"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Enterprise (?)</w:t>
            </w:r>
          </w:p>
        </w:tc>
      </w:tr>
      <w:tr w:rsidR="00DE4F0B" w:rsidRPr="00122938" w14:paraId="3C458FAD" w14:textId="12FEEDF0" w:rsidTr="00B4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34EAB33" w14:textId="51868E93" w:rsidR="00DE4F0B" w:rsidRPr="00122938" w:rsidRDefault="00DE4F0B" w:rsidP="00711925">
            <w:pPr>
              <w:tabs>
                <w:tab w:val="right" w:pos="9639"/>
              </w:tabs>
              <w:spacing w:line="276" w:lineRule="auto"/>
              <w:rPr>
                <w:rFonts w:ascii="Georgia" w:hAnsi="Georgia"/>
                <w:sz w:val="16"/>
                <w:szCs w:val="16"/>
              </w:rPr>
            </w:pPr>
            <w:r w:rsidRPr="00122938">
              <w:rPr>
                <w:rFonts w:ascii="Georgia" w:hAnsi="Georgia"/>
                <w:sz w:val="16"/>
                <w:szCs w:val="16"/>
              </w:rPr>
              <w:t xml:space="preserve">Wadden Sea World Heritage property in… </w:t>
            </w:r>
          </w:p>
        </w:tc>
        <w:tc>
          <w:tcPr>
            <w:tcW w:w="2687" w:type="dxa"/>
          </w:tcPr>
          <w:p w14:paraId="0C0A93C7" w14:textId="77777777"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1819" w:type="dxa"/>
          </w:tcPr>
          <w:p w14:paraId="0CD40161" w14:textId="77777777"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2659" w:type="dxa"/>
          </w:tcPr>
          <w:p w14:paraId="58FAD08D" w14:textId="77777777"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r>
      <w:tr w:rsidR="00DE4F0B" w:rsidRPr="00122938" w14:paraId="5288A209" w14:textId="291F8C30" w:rsidTr="00B466A5">
        <w:trPr>
          <w:trHeight w:val="1039"/>
        </w:trPr>
        <w:tc>
          <w:tcPr>
            <w:cnfStyle w:val="001000000000" w:firstRow="0" w:lastRow="0" w:firstColumn="1" w:lastColumn="0" w:oddVBand="0" w:evenVBand="0" w:oddHBand="0" w:evenHBand="0" w:firstRowFirstColumn="0" w:firstRowLastColumn="0" w:lastRowFirstColumn="0" w:lastRowLastColumn="0"/>
            <w:tcW w:w="2690" w:type="dxa"/>
          </w:tcPr>
          <w:p w14:paraId="53A5A47B" w14:textId="77777777" w:rsidR="00DE4F0B" w:rsidRPr="00122938" w:rsidRDefault="00DE4F0B" w:rsidP="00711925">
            <w:pPr>
              <w:tabs>
                <w:tab w:val="right" w:pos="9639"/>
              </w:tabs>
              <w:spacing w:line="276" w:lineRule="auto"/>
              <w:jc w:val="right"/>
              <w:rPr>
                <w:rFonts w:ascii="Georgia" w:hAnsi="Georgia"/>
                <w:b w:val="0"/>
                <w:bCs w:val="0"/>
                <w:sz w:val="16"/>
                <w:szCs w:val="16"/>
              </w:rPr>
            </w:pPr>
          </w:p>
          <w:p w14:paraId="14A3EB36" w14:textId="55BB03C2" w:rsidR="00DE4F0B" w:rsidRPr="00122938" w:rsidRDefault="00DE4F0B" w:rsidP="00711925">
            <w:pPr>
              <w:tabs>
                <w:tab w:val="right" w:pos="9639"/>
              </w:tabs>
              <w:spacing w:line="276" w:lineRule="auto"/>
              <w:jc w:val="right"/>
              <w:rPr>
                <w:rFonts w:ascii="Georgia" w:hAnsi="Georgia"/>
                <w:sz w:val="16"/>
                <w:szCs w:val="16"/>
              </w:rPr>
            </w:pPr>
            <w:r w:rsidRPr="00122938">
              <w:rPr>
                <w:rFonts w:ascii="Georgia" w:hAnsi="Georgia"/>
                <w:sz w:val="16"/>
                <w:szCs w:val="16"/>
              </w:rPr>
              <w:t xml:space="preserve">…the Netherlands </w:t>
            </w:r>
          </w:p>
        </w:tc>
        <w:tc>
          <w:tcPr>
            <w:tcW w:w="2687" w:type="dxa"/>
          </w:tcPr>
          <w:p w14:paraId="6F833900" w14:textId="75CB32DA" w:rsidR="00DE4F0B" w:rsidRPr="00122938" w:rsidRDefault="009377EB" w:rsidP="00711925">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9377EB">
              <w:rPr>
                <w:rFonts w:ascii="Georgia" w:hAnsi="Georgia"/>
                <w:sz w:val="16"/>
                <w:szCs w:val="16"/>
              </w:rPr>
              <w:t xml:space="preserve">Drilling for gas </w:t>
            </w:r>
            <w:r>
              <w:rPr>
                <w:rFonts w:ascii="Georgia" w:hAnsi="Georgia"/>
                <w:sz w:val="16"/>
                <w:szCs w:val="16"/>
              </w:rPr>
              <w:t xml:space="preserve">is prohibited </w:t>
            </w:r>
            <w:r w:rsidRPr="00122938">
              <w:rPr>
                <w:rFonts w:ascii="Georgia" w:hAnsi="Georgia"/>
                <w:sz w:val="16"/>
                <w:szCs w:val="16"/>
              </w:rPr>
              <w:t>by the PKB</w:t>
            </w:r>
            <w:r>
              <w:rPr>
                <w:rFonts w:ascii="Georgia" w:hAnsi="Georgia"/>
                <w:sz w:val="16"/>
                <w:szCs w:val="16"/>
              </w:rPr>
              <w:t>. It</w:t>
            </w:r>
            <w:r w:rsidRPr="009377EB">
              <w:rPr>
                <w:rFonts w:ascii="Georgia" w:hAnsi="Georgia"/>
                <w:sz w:val="16"/>
                <w:szCs w:val="16"/>
              </w:rPr>
              <w:t xml:space="preserve"> take</w:t>
            </w:r>
            <w:r>
              <w:rPr>
                <w:rFonts w:ascii="Georgia" w:hAnsi="Georgia"/>
                <w:sz w:val="16"/>
                <w:szCs w:val="16"/>
              </w:rPr>
              <w:t>s</w:t>
            </w:r>
            <w:r w:rsidRPr="009377EB">
              <w:rPr>
                <w:rFonts w:ascii="Georgia" w:hAnsi="Georgia"/>
                <w:sz w:val="16"/>
                <w:szCs w:val="16"/>
              </w:rPr>
              <w:t xml:space="preserve"> place from the shore </w:t>
            </w:r>
            <w:r w:rsidR="00127A4A">
              <w:rPr>
                <w:rFonts w:ascii="Georgia" w:hAnsi="Georgia"/>
                <w:sz w:val="16"/>
                <w:szCs w:val="16"/>
              </w:rPr>
              <w:t xml:space="preserve">outside the WSWH property </w:t>
            </w:r>
            <w:bookmarkStart w:id="0" w:name="_GoBack"/>
            <w:bookmarkEnd w:id="0"/>
            <w:r w:rsidRPr="009377EB">
              <w:rPr>
                <w:rFonts w:ascii="Georgia" w:hAnsi="Georgia"/>
                <w:sz w:val="16"/>
                <w:szCs w:val="16"/>
              </w:rPr>
              <w:t>with directional drilling using deviated wells, tapping into the gas reserves underneath the Wadden Sea</w:t>
            </w:r>
            <w:r w:rsidR="008C6F73">
              <w:rPr>
                <w:rFonts w:ascii="Georgia" w:hAnsi="Georgia"/>
                <w:sz w:val="16"/>
                <w:szCs w:val="16"/>
              </w:rPr>
              <w:t>.</w:t>
            </w:r>
            <w:r w:rsidR="00DE4F0B" w:rsidRPr="00122938">
              <w:rPr>
                <w:rFonts w:ascii="Georgia" w:hAnsi="Georgia"/>
                <w:sz w:val="16"/>
                <w:szCs w:val="16"/>
              </w:rPr>
              <w:t xml:space="preserve"> </w:t>
            </w:r>
          </w:p>
        </w:tc>
        <w:tc>
          <w:tcPr>
            <w:tcW w:w="1819" w:type="dxa"/>
          </w:tcPr>
          <w:p w14:paraId="182EB2A8" w14:textId="5E9759DE"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c>
          <w:tcPr>
            <w:tcW w:w="2659" w:type="dxa"/>
          </w:tcPr>
          <w:p w14:paraId="3A51D48C" w14:textId="3925E120"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Gas: …?</w:t>
            </w:r>
          </w:p>
        </w:tc>
      </w:tr>
      <w:tr w:rsidR="00DE4F0B" w:rsidRPr="00122938" w14:paraId="540FDAB2" w14:textId="7053C0CB" w:rsidTr="00B4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EBD064A" w14:textId="455661CC" w:rsidR="00DE4F0B" w:rsidRPr="00122938" w:rsidRDefault="00DE4F0B" w:rsidP="00711925">
            <w:pPr>
              <w:tabs>
                <w:tab w:val="right" w:pos="9639"/>
              </w:tabs>
              <w:spacing w:line="276" w:lineRule="auto"/>
              <w:jc w:val="right"/>
              <w:rPr>
                <w:rFonts w:ascii="Georgia" w:hAnsi="Georgia"/>
                <w:sz w:val="16"/>
                <w:szCs w:val="16"/>
              </w:rPr>
            </w:pPr>
            <w:r w:rsidRPr="00122938">
              <w:rPr>
                <w:rFonts w:ascii="Georgia" w:hAnsi="Georgia"/>
                <w:sz w:val="16"/>
                <w:szCs w:val="16"/>
              </w:rPr>
              <w:t>Lower Saxony</w:t>
            </w:r>
          </w:p>
        </w:tc>
        <w:tc>
          <w:tcPr>
            <w:tcW w:w="2687" w:type="dxa"/>
          </w:tcPr>
          <w:p w14:paraId="14A7289E" w14:textId="2543ADDF" w:rsidR="00DE4F0B" w:rsidRPr="00122938" w:rsidRDefault="008C6F73"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Pr>
                <w:rFonts w:ascii="Georgia" w:hAnsi="Georgia"/>
                <w:sz w:val="16"/>
                <w:szCs w:val="16"/>
              </w:rPr>
              <w:t xml:space="preserve">Regulated by the </w:t>
            </w:r>
            <w:r w:rsidRPr="00A739B9">
              <w:rPr>
                <w:rFonts w:ascii="Georgia" w:hAnsi="Georgia"/>
                <w:sz w:val="16"/>
                <w:szCs w:val="16"/>
              </w:rPr>
              <w:t>National Park Act</w:t>
            </w:r>
          </w:p>
        </w:tc>
        <w:tc>
          <w:tcPr>
            <w:tcW w:w="1819" w:type="dxa"/>
          </w:tcPr>
          <w:p w14:paraId="6BCDDFCE" w14:textId="42D3F772"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122938">
              <w:rPr>
                <w:rFonts w:ascii="Georgia" w:hAnsi="Georgia"/>
                <w:sz w:val="16"/>
                <w:szCs w:val="16"/>
              </w:rPr>
              <w:t>State Office for Mining, Energy and Geology</w:t>
            </w:r>
          </w:p>
        </w:tc>
        <w:tc>
          <w:tcPr>
            <w:tcW w:w="2659" w:type="dxa"/>
          </w:tcPr>
          <w:p w14:paraId="581825F4" w14:textId="383EF7D8"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122938">
              <w:rPr>
                <w:rFonts w:ascii="Georgia" w:hAnsi="Georgia"/>
                <w:sz w:val="16"/>
                <w:szCs w:val="16"/>
              </w:rPr>
              <w:t>NA</w:t>
            </w:r>
          </w:p>
        </w:tc>
      </w:tr>
      <w:tr w:rsidR="00DE4F0B" w:rsidRPr="00122938" w14:paraId="5537BCE7" w14:textId="3174E55F" w:rsidTr="00B466A5">
        <w:tc>
          <w:tcPr>
            <w:cnfStyle w:val="001000000000" w:firstRow="0" w:lastRow="0" w:firstColumn="1" w:lastColumn="0" w:oddVBand="0" w:evenVBand="0" w:oddHBand="0" w:evenHBand="0" w:firstRowFirstColumn="0" w:firstRowLastColumn="0" w:lastRowFirstColumn="0" w:lastRowLastColumn="0"/>
            <w:tcW w:w="2690" w:type="dxa"/>
          </w:tcPr>
          <w:p w14:paraId="7F45B80D" w14:textId="1DF29EC3" w:rsidR="00DE4F0B" w:rsidRPr="00122938" w:rsidRDefault="00DE4F0B" w:rsidP="00711925">
            <w:pPr>
              <w:tabs>
                <w:tab w:val="right" w:pos="9639"/>
              </w:tabs>
              <w:spacing w:line="276" w:lineRule="auto"/>
              <w:jc w:val="right"/>
              <w:rPr>
                <w:rFonts w:ascii="Georgia" w:hAnsi="Georgia"/>
                <w:sz w:val="16"/>
                <w:szCs w:val="16"/>
              </w:rPr>
            </w:pPr>
            <w:r w:rsidRPr="00122938">
              <w:rPr>
                <w:rFonts w:ascii="Georgia" w:hAnsi="Georgia"/>
                <w:sz w:val="16"/>
                <w:szCs w:val="16"/>
              </w:rPr>
              <w:t>Hamburg</w:t>
            </w:r>
          </w:p>
        </w:tc>
        <w:tc>
          <w:tcPr>
            <w:tcW w:w="2687" w:type="dxa"/>
          </w:tcPr>
          <w:p w14:paraId="30B2BF50" w14:textId="63B9B436"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 xml:space="preserve">Prohibited by the </w:t>
            </w:r>
            <w:r w:rsidR="008C6F73" w:rsidRPr="00A739B9">
              <w:rPr>
                <w:rFonts w:ascii="Georgia" w:hAnsi="Georgia"/>
                <w:sz w:val="16"/>
                <w:szCs w:val="16"/>
              </w:rPr>
              <w:t>National Park Act</w:t>
            </w:r>
          </w:p>
        </w:tc>
        <w:tc>
          <w:tcPr>
            <w:tcW w:w="1819" w:type="dxa"/>
          </w:tcPr>
          <w:p w14:paraId="54622BD0" w14:textId="6DDB7453"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Hamburg Wadden Sea National Park (?)</w:t>
            </w:r>
          </w:p>
        </w:tc>
        <w:tc>
          <w:tcPr>
            <w:tcW w:w="2659" w:type="dxa"/>
          </w:tcPr>
          <w:p w14:paraId="6C903E48" w14:textId="6A45676E"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NA</w:t>
            </w:r>
          </w:p>
        </w:tc>
      </w:tr>
      <w:tr w:rsidR="00DE4F0B" w:rsidRPr="00122938" w14:paraId="7E3C42C3" w14:textId="74B24903" w:rsidTr="00B4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656CACD" w14:textId="77777777" w:rsidR="00DE4F0B" w:rsidRPr="00122938" w:rsidRDefault="00DE4F0B" w:rsidP="00711925">
            <w:pPr>
              <w:tabs>
                <w:tab w:val="right" w:pos="9639"/>
              </w:tabs>
              <w:spacing w:line="276" w:lineRule="auto"/>
              <w:jc w:val="right"/>
              <w:rPr>
                <w:rFonts w:ascii="Georgia" w:hAnsi="Georgia"/>
                <w:b w:val="0"/>
                <w:bCs w:val="0"/>
                <w:sz w:val="16"/>
                <w:szCs w:val="16"/>
              </w:rPr>
            </w:pPr>
          </w:p>
          <w:p w14:paraId="5AAEEEFE" w14:textId="77777777" w:rsidR="00DE4F0B" w:rsidRPr="00122938" w:rsidRDefault="00DE4F0B" w:rsidP="00711925">
            <w:pPr>
              <w:tabs>
                <w:tab w:val="right" w:pos="9639"/>
              </w:tabs>
              <w:spacing w:line="276" w:lineRule="auto"/>
              <w:jc w:val="right"/>
              <w:rPr>
                <w:rFonts w:ascii="Georgia" w:hAnsi="Georgia"/>
                <w:sz w:val="16"/>
                <w:szCs w:val="16"/>
              </w:rPr>
            </w:pPr>
            <w:r w:rsidRPr="00122938">
              <w:rPr>
                <w:rFonts w:ascii="Georgia" w:hAnsi="Georgia"/>
                <w:sz w:val="16"/>
                <w:szCs w:val="16"/>
              </w:rPr>
              <w:t>Schleswig-Holstein</w:t>
            </w:r>
          </w:p>
        </w:tc>
        <w:tc>
          <w:tcPr>
            <w:tcW w:w="2687" w:type="dxa"/>
          </w:tcPr>
          <w:p w14:paraId="04135BEC" w14:textId="4FAF97B1" w:rsidR="00DE4F0B" w:rsidRPr="00122938" w:rsidRDefault="008C6F73"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Pr>
                <w:rFonts w:ascii="Georgia" w:hAnsi="Georgia"/>
                <w:sz w:val="16"/>
                <w:szCs w:val="16"/>
              </w:rPr>
              <w:t xml:space="preserve">Regulated by the </w:t>
            </w:r>
            <w:r w:rsidRPr="00A739B9">
              <w:rPr>
                <w:rFonts w:ascii="Georgia" w:hAnsi="Georgia"/>
                <w:sz w:val="16"/>
                <w:szCs w:val="16"/>
              </w:rPr>
              <w:t>National Park Act</w:t>
            </w:r>
          </w:p>
        </w:tc>
        <w:tc>
          <w:tcPr>
            <w:tcW w:w="1819" w:type="dxa"/>
          </w:tcPr>
          <w:p w14:paraId="75BA1172" w14:textId="2FC1CC36"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p>
        </w:tc>
        <w:tc>
          <w:tcPr>
            <w:tcW w:w="2659" w:type="dxa"/>
          </w:tcPr>
          <w:p w14:paraId="76A7F7D7" w14:textId="2DE1F212" w:rsidR="00DE4F0B" w:rsidRPr="00122938" w:rsidRDefault="00DE4F0B" w:rsidP="00711925">
            <w:pPr>
              <w:tabs>
                <w:tab w:val="right" w:pos="9639"/>
              </w:tabs>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16"/>
                <w:szCs w:val="16"/>
              </w:rPr>
            </w:pPr>
            <w:r w:rsidRPr="00122938">
              <w:rPr>
                <w:rFonts w:ascii="Georgia" w:hAnsi="Georgia"/>
                <w:sz w:val="16"/>
                <w:szCs w:val="16"/>
              </w:rPr>
              <w:t xml:space="preserve">Oil: Consisting of Deutsche </w:t>
            </w:r>
            <w:proofErr w:type="spellStart"/>
            <w:r w:rsidRPr="00122938">
              <w:rPr>
                <w:rFonts w:ascii="Georgia" w:hAnsi="Georgia"/>
                <w:sz w:val="16"/>
                <w:szCs w:val="16"/>
              </w:rPr>
              <w:t>Erdöl</w:t>
            </w:r>
            <w:proofErr w:type="spellEnd"/>
            <w:r w:rsidRPr="00122938">
              <w:rPr>
                <w:rFonts w:ascii="Georgia" w:hAnsi="Georgia"/>
                <w:sz w:val="16"/>
                <w:szCs w:val="16"/>
              </w:rPr>
              <w:t xml:space="preserve"> AG (sold by RWE to the Russian investment fund </w:t>
            </w:r>
            <w:proofErr w:type="spellStart"/>
            <w:r w:rsidRPr="00122938">
              <w:rPr>
                <w:rFonts w:ascii="Georgia" w:hAnsi="Georgia"/>
                <w:sz w:val="16"/>
                <w:szCs w:val="16"/>
              </w:rPr>
              <w:t>LetterOne</w:t>
            </w:r>
            <w:proofErr w:type="spellEnd"/>
            <w:r w:rsidRPr="00122938">
              <w:rPr>
                <w:rFonts w:ascii="Georgia" w:hAnsi="Georgia"/>
                <w:sz w:val="16"/>
                <w:szCs w:val="16"/>
              </w:rPr>
              <w:t xml:space="preserve"> in 2015) as the operating company and </w:t>
            </w:r>
            <w:proofErr w:type="spellStart"/>
            <w:r w:rsidRPr="00122938">
              <w:rPr>
                <w:rFonts w:ascii="Georgia" w:hAnsi="Georgia"/>
                <w:sz w:val="16"/>
                <w:szCs w:val="16"/>
              </w:rPr>
              <w:t>Wintershall</w:t>
            </w:r>
            <w:proofErr w:type="spellEnd"/>
            <w:r w:rsidRPr="00122938">
              <w:rPr>
                <w:rFonts w:ascii="Georgia" w:hAnsi="Georgia"/>
                <w:sz w:val="16"/>
                <w:szCs w:val="16"/>
              </w:rPr>
              <w:t xml:space="preserve"> Holding GmbH (QSR, 2017)</w:t>
            </w:r>
          </w:p>
        </w:tc>
      </w:tr>
      <w:tr w:rsidR="00DE4F0B" w:rsidRPr="00122938" w14:paraId="5FE8AC85" w14:textId="24DBE7C5" w:rsidTr="00B466A5">
        <w:tc>
          <w:tcPr>
            <w:cnfStyle w:val="001000000000" w:firstRow="0" w:lastRow="0" w:firstColumn="1" w:lastColumn="0" w:oddVBand="0" w:evenVBand="0" w:oddHBand="0" w:evenHBand="0" w:firstRowFirstColumn="0" w:firstRowLastColumn="0" w:lastRowFirstColumn="0" w:lastRowLastColumn="0"/>
            <w:tcW w:w="2690" w:type="dxa"/>
          </w:tcPr>
          <w:p w14:paraId="68DA38E2" w14:textId="77777777" w:rsidR="00DE4F0B" w:rsidRPr="00122938" w:rsidRDefault="00DE4F0B" w:rsidP="00711925">
            <w:pPr>
              <w:tabs>
                <w:tab w:val="right" w:pos="9639"/>
              </w:tabs>
              <w:spacing w:line="276" w:lineRule="auto"/>
              <w:jc w:val="right"/>
              <w:rPr>
                <w:rFonts w:ascii="Georgia" w:hAnsi="Georgia"/>
                <w:sz w:val="16"/>
                <w:szCs w:val="16"/>
              </w:rPr>
            </w:pPr>
            <w:r w:rsidRPr="00122938">
              <w:rPr>
                <w:rFonts w:ascii="Georgia" w:hAnsi="Georgia"/>
                <w:sz w:val="16"/>
                <w:szCs w:val="16"/>
              </w:rPr>
              <w:t>Denmark</w:t>
            </w:r>
          </w:p>
        </w:tc>
        <w:tc>
          <w:tcPr>
            <w:tcW w:w="2687" w:type="dxa"/>
          </w:tcPr>
          <w:p w14:paraId="16C534A9" w14:textId="405107E0"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r w:rsidRPr="00122938">
              <w:rPr>
                <w:rFonts w:ascii="Georgia" w:hAnsi="Georgia"/>
                <w:sz w:val="16"/>
                <w:szCs w:val="16"/>
              </w:rPr>
              <w:t xml:space="preserve">Prohibited by the Statutory Order on the Nature Reserve </w:t>
            </w:r>
            <w:r w:rsidRPr="00122938">
              <w:rPr>
                <w:rFonts w:ascii="Georgia" w:hAnsi="Georgia"/>
                <w:sz w:val="16"/>
                <w:szCs w:val="16"/>
              </w:rPr>
              <w:lastRenderedPageBreak/>
              <w:t>Wadden Sea</w:t>
            </w:r>
          </w:p>
        </w:tc>
        <w:tc>
          <w:tcPr>
            <w:tcW w:w="1819" w:type="dxa"/>
          </w:tcPr>
          <w:p w14:paraId="2681E2DB" w14:textId="7FA7FDB4"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c>
          <w:tcPr>
            <w:tcW w:w="2659" w:type="dxa"/>
          </w:tcPr>
          <w:p w14:paraId="2357435D" w14:textId="77777777" w:rsidR="00DE4F0B" w:rsidRPr="00122938" w:rsidRDefault="00DE4F0B" w:rsidP="00711925">
            <w:pPr>
              <w:tabs>
                <w:tab w:val="right" w:pos="9639"/>
              </w:tabs>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16"/>
                <w:szCs w:val="16"/>
              </w:rPr>
            </w:pPr>
          </w:p>
        </w:tc>
      </w:tr>
    </w:tbl>
    <w:p w14:paraId="3755749C" w14:textId="328DA4D0" w:rsidR="00172260" w:rsidRPr="008C6F73" w:rsidRDefault="00DE4F0B" w:rsidP="008561DC">
      <w:pPr>
        <w:spacing w:after="200" w:line="276" w:lineRule="auto"/>
        <w:rPr>
          <w:rFonts w:ascii="Georgia" w:hAnsi="Georgia"/>
          <w:sz w:val="16"/>
          <w:szCs w:val="16"/>
          <w:lang w:val="en-GB"/>
        </w:rPr>
      </w:pPr>
      <w:r w:rsidRPr="008C6F73">
        <w:rPr>
          <w:rFonts w:ascii="Georgia" w:hAnsi="Georgia"/>
          <w:sz w:val="16"/>
          <w:szCs w:val="16"/>
          <w:lang w:val="en-GB"/>
        </w:rPr>
        <w:t>Sources: QSR, 2017</w:t>
      </w:r>
      <w:r w:rsidR="008C6F73" w:rsidRPr="008C6F73">
        <w:rPr>
          <w:rFonts w:ascii="Georgia" w:hAnsi="Georgia"/>
          <w:sz w:val="16"/>
          <w:szCs w:val="16"/>
          <w:lang w:val="en-GB"/>
        </w:rPr>
        <w:t>; Nomination Dossier, 2012.</w:t>
      </w:r>
    </w:p>
    <w:p w14:paraId="47232913" w14:textId="77777777" w:rsidR="00B466A5" w:rsidRDefault="00B466A5" w:rsidP="008C6F73">
      <w:pPr>
        <w:spacing w:line="276" w:lineRule="auto"/>
        <w:rPr>
          <w:rFonts w:ascii="Georgia" w:hAnsi="Georgia"/>
          <w:sz w:val="20"/>
          <w:szCs w:val="22"/>
          <w:u w:val="single"/>
          <w:lang w:val="en-GB"/>
        </w:rPr>
      </w:pPr>
    </w:p>
    <w:p w14:paraId="340F1F9F" w14:textId="6B2009C1" w:rsidR="004D65C1" w:rsidRDefault="001A4598" w:rsidP="008C6F73">
      <w:pPr>
        <w:spacing w:line="276" w:lineRule="auto"/>
        <w:rPr>
          <w:rFonts w:ascii="Georgia" w:hAnsi="Georgia"/>
          <w:sz w:val="20"/>
          <w:szCs w:val="22"/>
          <w:u w:val="single"/>
          <w:lang w:val="en-GB"/>
        </w:rPr>
      </w:pPr>
      <w:r w:rsidRPr="001A4598">
        <w:rPr>
          <w:rFonts w:ascii="Georgia" w:hAnsi="Georgia"/>
          <w:sz w:val="20"/>
          <w:szCs w:val="22"/>
          <w:u w:val="single"/>
          <w:lang w:val="en-GB"/>
        </w:rPr>
        <w:t>Trends</w:t>
      </w:r>
    </w:p>
    <w:p w14:paraId="2218109C" w14:textId="643ECD3C" w:rsidR="00541D44" w:rsidRPr="00541D44" w:rsidRDefault="00541D44" w:rsidP="004D65C1">
      <w:pPr>
        <w:spacing w:after="200" w:line="276" w:lineRule="auto"/>
        <w:rPr>
          <w:rFonts w:ascii="Georgia" w:eastAsiaTheme="minorHAnsi" w:hAnsi="Georgia" w:cs="RotisSansSerif"/>
          <w:sz w:val="20"/>
          <w:szCs w:val="20"/>
        </w:rPr>
      </w:pPr>
      <w:r>
        <w:rPr>
          <w:rFonts w:ascii="Georgia" w:eastAsiaTheme="minorHAnsi" w:hAnsi="Georgia" w:cs="RotisSansSerif"/>
          <w:sz w:val="20"/>
          <w:szCs w:val="20"/>
        </w:rPr>
        <w:t>N</w:t>
      </w:r>
      <w:r w:rsidRPr="00EC7B6F">
        <w:rPr>
          <w:rFonts w:ascii="Georgia" w:eastAsiaTheme="minorHAnsi" w:hAnsi="Georgia" w:cs="RotisSansSerif"/>
          <w:sz w:val="20"/>
          <w:szCs w:val="20"/>
        </w:rPr>
        <w:t>ew exploitation installations for oil and gas will not be permitted</w:t>
      </w:r>
      <w:r>
        <w:rPr>
          <w:rFonts w:ascii="Georgia" w:eastAsiaTheme="minorHAnsi" w:hAnsi="Georgia" w:cs="RotisSansSerif"/>
          <w:sz w:val="20"/>
          <w:szCs w:val="20"/>
        </w:rPr>
        <w:t>. Gas and oil exploitation will continue through directional drilling.</w:t>
      </w:r>
    </w:p>
    <w:p w14:paraId="203AE012" w14:textId="4E2665C4" w:rsidR="004D65C1" w:rsidRPr="00964692" w:rsidRDefault="004D65C1" w:rsidP="00964692">
      <w:pPr>
        <w:spacing w:line="276" w:lineRule="auto"/>
        <w:rPr>
          <w:rFonts w:ascii="Georgia" w:hAnsi="Georgia"/>
          <w:sz w:val="20"/>
          <w:szCs w:val="22"/>
          <w:u w:val="single"/>
          <w:lang w:val="en-GB"/>
        </w:rPr>
      </w:pPr>
      <w:r w:rsidRPr="00964692">
        <w:rPr>
          <w:rFonts w:ascii="Georgia" w:hAnsi="Georgia"/>
          <w:sz w:val="20"/>
          <w:szCs w:val="22"/>
          <w:u w:val="single"/>
          <w:lang w:val="en-GB"/>
        </w:rPr>
        <w:t>Threats Oil and Gas</w:t>
      </w:r>
    </w:p>
    <w:p w14:paraId="321AEDCA" w14:textId="60B7AE87" w:rsidR="00CF2D42" w:rsidRPr="00964692" w:rsidRDefault="00CF2D42" w:rsidP="004D65C1">
      <w:pPr>
        <w:spacing w:after="200" w:line="276" w:lineRule="auto"/>
        <w:rPr>
          <w:rFonts w:ascii="Georgia" w:eastAsiaTheme="minorHAnsi" w:hAnsi="Georgia" w:cs="RotisSansSerif"/>
          <w:sz w:val="20"/>
          <w:szCs w:val="20"/>
        </w:rPr>
      </w:pPr>
      <w:r w:rsidRPr="00964692">
        <w:rPr>
          <w:rFonts w:ascii="Georgia" w:eastAsiaTheme="minorHAnsi" w:hAnsi="Georgia" w:cs="RotisSansSerif"/>
          <w:sz w:val="20"/>
          <w:szCs w:val="20"/>
        </w:rPr>
        <w:t>Transfer cables to the coastline are laid through the Wadden Sea causing impact (QSR, 2017).</w:t>
      </w:r>
    </w:p>
    <w:p w14:paraId="01AF58BF" w14:textId="3EEC59D9" w:rsidR="00B466A5" w:rsidRDefault="00B466A5" w:rsidP="004D65C1">
      <w:pPr>
        <w:spacing w:after="200" w:line="276" w:lineRule="auto"/>
      </w:pPr>
    </w:p>
    <w:p w14:paraId="03864E88" w14:textId="77777777" w:rsidR="00B466A5" w:rsidRDefault="00B466A5" w:rsidP="00B466A5">
      <w:pPr>
        <w:spacing w:after="120" w:line="276" w:lineRule="auto"/>
        <w:rPr>
          <w:rFonts w:ascii="Arial" w:hAnsi="Arial" w:cs="Arial"/>
          <w:b/>
          <w:szCs w:val="28"/>
          <w:lang w:val="en-GB"/>
        </w:rPr>
      </w:pPr>
      <w:r>
        <w:rPr>
          <w:rFonts w:ascii="Arial" w:hAnsi="Arial" w:cs="Arial"/>
          <w:b/>
          <w:szCs w:val="28"/>
          <w:lang w:val="en-GB"/>
        </w:rPr>
        <w:t>Sources of information</w:t>
      </w:r>
    </w:p>
    <w:p w14:paraId="527F7AC4" w14:textId="77777777" w:rsidR="00B466A5" w:rsidRDefault="00B466A5" w:rsidP="00B466A5">
      <w:pPr>
        <w:spacing w:line="276" w:lineRule="auto"/>
        <w:rPr>
          <w:rFonts w:ascii="Georgia" w:hAnsi="Georgia"/>
          <w:sz w:val="20"/>
          <w:szCs w:val="22"/>
          <w:lang w:val="en-GB"/>
        </w:rPr>
      </w:pPr>
      <w:r w:rsidRPr="000B7E8C">
        <w:rPr>
          <w:rFonts w:ascii="Georgia" w:hAnsi="Georgia"/>
          <w:sz w:val="20"/>
          <w:szCs w:val="22"/>
          <w:lang w:val="en-GB"/>
        </w:rPr>
        <w:t>Nomination dossier</w:t>
      </w:r>
      <w:r>
        <w:rPr>
          <w:rFonts w:ascii="Georgia" w:hAnsi="Georgia"/>
          <w:sz w:val="20"/>
          <w:szCs w:val="22"/>
          <w:lang w:val="en-GB"/>
        </w:rPr>
        <w:t xml:space="preserve"> (2008, 2014)</w:t>
      </w:r>
    </w:p>
    <w:p w14:paraId="7F95965A" w14:textId="77777777" w:rsidR="00B466A5" w:rsidRDefault="00B466A5" w:rsidP="00B466A5">
      <w:pPr>
        <w:spacing w:line="276" w:lineRule="auto"/>
        <w:rPr>
          <w:rFonts w:ascii="Georgia" w:hAnsi="Georgia"/>
          <w:sz w:val="20"/>
          <w:szCs w:val="22"/>
          <w:lang w:val="en-GB"/>
        </w:rPr>
      </w:pPr>
      <w:r>
        <w:rPr>
          <w:rFonts w:ascii="Georgia" w:hAnsi="Georgia"/>
          <w:sz w:val="20"/>
          <w:szCs w:val="22"/>
          <w:lang w:val="en-GB"/>
        </w:rPr>
        <w:t>QSR (2017)</w:t>
      </w:r>
    </w:p>
    <w:p w14:paraId="28B60324" w14:textId="77777777" w:rsidR="00B466A5" w:rsidRDefault="00B466A5" w:rsidP="00B466A5">
      <w:pPr>
        <w:spacing w:line="276" w:lineRule="auto"/>
        <w:rPr>
          <w:rFonts w:ascii="Georgia" w:hAnsi="Georgia"/>
          <w:sz w:val="20"/>
          <w:szCs w:val="22"/>
          <w:lang w:val="en-GB"/>
        </w:rPr>
      </w:pPr>
      <w:r>
        <w:rPr>
          <w:rFonts w:ascii="Georgia" w:hAnsi="Georgia"/>
          <w:sz w:val="20"/>
          <w:szCs w:val="22"/>
          <w:lang w:val="en-GB"/>
        </w:rPr>
        <w:t>WSP 2010</w:t>
      </w:r>
    </w:p>
    <w:p w14:paraId="1C978C4D" w14:textId="0C2206BB" w:rsidR="00493357" w:rsidRDefault="00493357">
      <w:pPr>
        <w:spacing w:after="200" w:line="276" w:lineRule="auto"/>
        <w:rPr>
          <w:sz w:val="22"/>
          <w:szCs w:val="22"/>
          <w:lang w:val="en-GB"/>
        </w:rPr>
      </w:pPr>
      <w:r>
        <w:rPr>
          <w:sz w:val="22"/>
          <w:szCs w:val="22"/>
          <w:lang w:val="en-GB"/>
        </w:rPr>
        <w:br w:type="page"/>
      </w:r>
    </w:p>
    <w:p w14:paraId="20B28CAC" w14:textId="6CFCE476" w:rsidR="00493357" w:rsidRPr="001E0E7C" w:rsidRDefault="00493357" w:rsidP="00493357">
      <w:pPr>
        <w:pStyle w:val="Textkrper-Zeileneinzug"/>
        <w:spacing w:line="276" w:lineRule="auto"/>
        <w:ind w:left="0" w:firstLine="0"/>
        <w:contextualSpacing/>
        <w:rPr>
          <w:rFonts w:ascii="Georgia" w:hAnsi="Georgia" w:cs="Times New Roman"/>
          <w:b/>
          <w:bCs/>
        </w:rPr>
      </w:pPr>
      <w:r>
        <w:rPr>
          <w:rFonts w:ascii="Georgia" w:hAnsi="Georgia" w:cs="Times New Roman"/>
          <w:b/>
          <w:bCs/>
        </w:rPr>
        <w:lastRenderedPageBreak/>
        <w:t>Annex 1</w:t>
      </w:r>
      <w:r w:rsidRPr="001E0E7C">
        <w:rPr>
          <w:rFonts w:ascii="Georgia" w:hAnsi="Georgia" w:cs="Times New Roman"/>
          <w:b/>
          <w:bCs/>
        </w:rPr>
        <w:t xml:space="preserve">: </w:t>
      </w:r>
      <w:r>
        <w:rPr>
          <w:rFonts w:ascii="Georgia" w:hAnsi="Georgia" w:cs="Times New Roman"/>
          <w:b/>
          <w:bCs/>
        </w:rPr>
        <w:t>R</w:t>
      </w:r>
      <w:r w:rsidRPr="00AC362F">
        <w:rPr>
          <w:rFonts w:ascii="Georgia" w:hAnsi="Georgia" w:cs="Times New Roman"/>
          <w:b/>
          <w:bCs/>
        </w:rPr>
        <w:t>eferential content structure for key topic</w:t>
      </w:r>
      <w:r>
        <w:rPr>
          <w:rFonts w:ascii="Georgia" w:hAnsi="Georgia" w:cs="Times New Roman"/>
          <w:b/>
          <w:bCs/>
        </w:rPr>
        <w:t>s</w:t>
      </w:r>
      <w:r w:rsidRPr="00875DC0">
        <w:rPr>
          <w:rFonts w:ascii="Georgia" w:hAnsi="Georgia" w:cs="Times New Roman"/>
          <w:szCs w:val="22"/>
        </w:rPr>
        <w:t xml:space="preserve"> </w:t>
      </w:r>
      <w:r w:rsidRPr="001E0E7C">
        <w:rPr>
          <w:rFonts w:ascii="Georgia" w:hAnsi="Georgia" w:cs="Times New Roman"/>
          <w:b/>
          <w:bCs/>
          <w:u w:val="single"/>
        </w:rPr>
        <w:t>Renewable energy, Energy from Oil and Gas, Coastal flood defense and protection</w:t>
      </w:r>
    </w:p>
    <w:p w14:paraId="7CCB54C2" w14:textId="77777777" w:rsidR="00493357" w:rsidRPr="005E0208" w:rsidRDefault="00493357" w:rsidP="00493357">
      <w:pPr>
        <w:spacing w:line="276" w:lineRule="auto"/>
        <w:rPr>
          <w:rFonts w:ascii="Georgia" w:hAnsi="Georgia"/>
          <w:sz w:val="20"/>
          <w:szCs w:val="20"/>
        </w:rPr>
      </w:pPr>
      <w:r w:rsidRPr="002640A1">
        <w:rPr>
          <w:rFonts w:ascii="Georgia" w:hAnsi="Georgia"/>
          <w:sz w:val="20"/>
          <w:szCs w:val="20"/>
        </w:rPr>
        <w:t xml:space="preserve">The joint SIMP meeting agreed to replace the title of this key topic from “Impacts from outside” to “Renewable energy”, </w:t>
      </w:r>
      <w:r>
        <w:rPr>
          <w:rFonts w:ascii="Georgia" w:hAnsi="Georgia"/>
          <w:sz w:val="20"/>
          <w:szCs w:val="20"/>
        </w:rPr>
        <w:t>“E</w:t>
      </w:r>
      <w:r w:rsidRPr="002640A1">
        <w:rPr>
          <w:rFonts w:ascii="Georgia" w:hAnsi="Georgia"/>
          <w:sz w:val="20"/>
          <w:szCs w:val="20"/>
        </w:rPr>
        <w:t>nergy from Oil and Gas</w:t>
      </w:r>
      <w:r>
        <w:rPr>
          <w:rFonts w:ascii="Georgia" w:hAnsi="Georgia"/>
          <w:sz w:val="20"/>
          <w:szCs w:val="20"/>
        </w:rPr>
        <w:t>”</w:t>
      </w:r>
      <w:r w:rsidRPr="002640A1">
        <w:rPr>
          <w:rFonts w:ascii="Georgia" w:hAnsi="Georgia"/>
          <w:sz w:val="20"/>
          <w:szCs w:val="20"/>
        </w:rPr>
        <w:t xml:space="preserve"> and </w:t>
      </w:r>
      <w:r>
        <w:rPr>
          <w:rFonts w:ascii="Georgia" w:hAnsi="Georgia"/>
          <w:sz w:val="20"/>
          <w:szCs w:val="20"/>
        </w:rPr>
        <w:t>“C</w:t>
      </w:r>
      <w:r w:rsidRPr="002640A1">
        <w:rPr>
          <w:rFonts w:ascii="Georgia" w:hAnsi="Georgia"/>
          <w:sz w:val="20"/>
          <w:szCs w:val="20"/>
        </w:rPr>
        <w:t>oastal flood defense and protection</w:t>
      </w:r>
      <w:r>
        <w:rPr>
          <w:rFonts w:ascii="Georgia" w:hAnsi="Georgia"/>
          <w:sz w:val="20"/>
          <w:szCs w:val="20"/>
        </w:rPr>
        <w:t>”.</w:t>
      </w:r>
    </w:p>
    <w:tbl>
      <w:tblPr>
        <w:tblStyle w:val="Tabellenraster"/>
        <w:tblW w:w="961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142"/>
        <w:gridCol w:w="5812"/>
      </w:tblGrid>
      <w:tr w:rsidR="00493357" w:rsidRPr="005E0208" w14:paraId="1C296365" w14:textId="77777777" w:rsidTr="00493357">
        <w:trPr>
          <w:trHeight w:val="401"/>
        </w:trPr>
        <w:tc>
          <w:tcPr>
            <w:tcW w:w="3662" w:type="dxa"/>
            <w:tcBorders>
              <w:bottom w:val="single" w:sz="4" w:space="0" w:color="auto"/>
            </w:tcBorders>
            <w:shd w:val="clear" w:color="auto" w:fill="D9D9D9" w:themeFill="background1" w:themeFillShade="D9"/>
          </w:tcPr>
          <w:p w14:paraId="1F7F921C" w14:textId="77777777" w:rsidR="00493357" w:rsidRPr="005E0208" w:rsidRDefault="00493357" w:rsidP="00610E9B">
            <w:pPr>
              <w:pStyle w:val="Textkrper-Zeileneinzug"/>
              <w:spacing w:after="120" w:line="276" w:lineRule="auto"/>
              <w:ind w:left="0" w:firstLine="0"/>
              <w:contextualSpacing/>
              <w:jc w:val="center"/>
              <w:rPr>
                <w:rFonts w:ascii="Georgia" w:hAnsi="Georgia" w:cs="Times New Roman"/>
                <w:b/>
                <w:bCs/>
              </w:rPr>
            </w:pPr>
          </w:p>
          <w:p w14:paraId="7C150AEB" w14:textId="77777777" w:rsidR="00493357" w:rsidRPr="005E0208" w:rsidRDefault="00493357" w:rsidP="00610E9B">
            <w:pPr>
              <w:pStyle w:val="Textkrper-Zeileneinzug"/>
              <w:spacing w:after="120" w:line="276" w:lineRule="auto"/>
              <w:ind w:left="0" w:firstLine="0"/>
              <w:contextualSpacing/>
              <w:jc w:val="center"/>
              <w:rPr>
                <w:rFonts w:ascii="Georgia" w:hAnsi="Georgia" w:cs="Times New Roman"/>
                <w:b/>
                <w:bCs/>
              </w:rPr>
            </w:pPr>
            <w:r w:rsidRPr="005E0208">
              <w:rPr>
                <w:rFonts w:ascii="Georgia" w:hAnsi="Georgia" w:cs="Times New Roman"/>
                <w:b/>
                <w:bCs/>
              </w:rPr>
              <w:t>Heading</w:t>
            </w:r>
          </w:p>
        </w:tc>
        <w:tc>
          <w:tcPr>
            <w:tcW w:w="5954" w:type="dxa"/>
            <w:gridSpan w:val="2"/>
            <w:tcBorders>
              <w:bottom w:val="single" w:sz="4" w:space="0" w:color="auto"/>
            </w:tcBorders>
            <w:shd w:val="clear" w:color="auto" w:fill="D9D9D9" w:themeFill="background1" w:themeFillShade="D9"/>
          </w:tcPr>
          <w:p w14:paraId="4E50D5E7" w14:textId="77777777" w:rsidR="00493357" w:rsidRPr="005E0208" w:rsidRDefault="00493357" w:rsidP="00610E9B">
            <w:pPr>
              <w:pStyle w:val="Textkrper-Zeileneinzug"/>
              <w:spacing w:after="120" w:line="276" w:lineRule="auto"/>
              <w:ind w:left="0" w:firstLine="0"/>
              <w:contextualSpacing/>
              <w:jc w:val="center"/>
              <w:rPr>
                <w:rFonts w:ascii="Georgia" w:hAnsi="Georgia" w:cs="Times New Roman"/>
                <w:b/>
                <w:bCs/>
              </w:rPr>
            </w:pPr>
          </w:p>
          <w:p w14:paraId="0E2AD490" w14:textId="77777777" w:rsidR="00493357" w:rsidRPr="005E0208" w:rsidRDefault="00493357" w:rsidP="00610E9B">
            <w:pPr>
              <w:pStyle w:val="Textkrper-Zeileneinzug"/>
              <w:spacing w:after="120" w:line="276" w:lineRule="auto"/>
              <w:ind w:left="0" w:firstLine="0"/>
              <w:contextualSpacing/>
              <w:jc w:val="center"/>
              <w:rPr>
                <w:rFonts w:ascii="Georgia" w:hAnsi="Georgia" w:cs="Times New Roman"/>
                <w:b/>
                <w:bCs/>
              </w:rPr>
            </w:pPr>
            <w:r w:rsidRPr="0009117A">
              <w:rPr>
                <w:rFonts w:ascii="Georgia" w:hAnsi="Georgia" w:cs="Times New Roman"/>
                <w:b/>
                <w:bCs/>
              </w:rPr>
              <w:t xml:space="preserve">Description </w:t>
            </w:r>
            <w:r>
              <w:rPr>
                <w:rFonts w:ascii="Georgia" w:hAnsi="Georgia" w:cs="Times New Roman"/>
                <w:b/>
                <w:bCs/>
              </w:rPr>
              <w:t>and c</w:t>
            </w:r>
            <w:r w:rsidRPr="0009117A">
              <w:rPr>
                <w:rFonts w:ascii="Georgia" w:hAnsi="Georgia" w:cs="Times New Roman"/>
                <w:b/>
                <w:bCs/>
              </w:rPr>
              <w:t>onsiderations</w:t>
            </w:r>
          </w:p>
        </w:tc>
      </w:tr>
      <w:tr w:rsidR="00493357" w:rsidRPr="005E0208" w14:paraId="265FCA8B" w14:textId="77777777" w:rsidTr="00493357">
        <w:tc>
          <w:tcPr>
            <w:tcW w:w="3662" w:type="dxa"/>
            <w:tcBorders>
              <w:top w:val="single" w:sz="4" w:space="0" w:color="auto"/>
            </w:tcBorders>
          </w:tcPr>
          <w:p w14:paraId="7AD6CD50"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p>
          <w:p w14:paraId="1D8F7C09"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Improve communication</w:t>
            </w:r>
          </w:p>
        </w:tc>
        <w:tc>
          <w:tcPr>
            <w:tcW w:w="5954" w:type="dxa"/>
            <w:gridSpan w:val="2"/>
            <w:tcBorders>
              <w:top w:val="single" w:sz="4" w:space="0" w:color="auto"/>
            </w:tcBorders>
          </w:tcPr>
          <w:p w14:paraId="2496366B"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p>
          <w:p w14:paraId="31B275D9"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It is desirable to improve communication, however, consider that policies are very different in the countries.</w:t>
            </w:r>
          </w:p>
        </w:tc>
      </w:tr>
      <w:tr w:rsidR="00493357" w:rsidRPr="005E0208" w14:paraId="457EA0C8" w14:textId="77777777" w:rsidTr="00493357">
        <w:tc>
          <w:tcPr>
            <w:tcW w:w="3662" w:type="dxa"/>
          </w:tcPr>
          <w:p w14:paraId="43E9FFA0"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Inventory</w:t>
            </w:r>
          </w:p>
        </w:tc>
        <w:tc>
          <w:tcPr>
            <w:tcW w:w="5954" w:type="dxa"/>
            <w:gridSpan w:val="2"/>
          </w:tcPr>
          <w:p w14:paraId="030081C2"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 xml:space="preserve">An inventory of the legal framework regarding these topics in the three countries is needed. </w:t>
            </w:r>
          </w:p>
        </w:tc>
      </w:tr>
      <w:tr w:rsidR="00493357" w:rsidRPr="005E0208" w14:paraId="03DE6CC9" w14:textId="77777777" w:rsidTr="00493357">
        <w:tc>
          <w:tcPr>
            <w:tcW w:w="3662" w:type="dxa"/>
          </w:tcPr>
          <w:p w14:paraId="25EAE011"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Common ground</w:t>
            </w:r>
          </w:p>
        </w:tc>
        <w:tc>
          <w:tcPr>
            <w:tcW w:w="5954" w:type="dxa"/>
            <w:gridSpan w:val="2"/>
          </w:tcPr>
          <w:p w14:paraId="3EA2BAA0"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 xml:space="preserve">Statement from the WH Nomination Dossier. </w:t>
            </w:r>
          </w:p>
        </w:tc>
      </w:tr>
      <w:tr w:rsidR="00493357" w:rsidRPr="005E0208" w14:paraId="73E3B3E0" w14:textId="77777777" w:rsidTr="00493357">
        <w:tc>
          <w:tcPr>
            <w:tcW w:w="3662" w:type="dxa"/>
          </w:tcPr>
          <w:p w14:paraId="07001AA3"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OUV key value</w:t>
            </w:r>
          </w:p>
        </w:tc>
        <w:tc>
          <w:tcPr>
            <w:tcW w:w="5954" w:type="dxa"/>
            <w:gridSpan w:val="2"/>
          </w:tcPr>
          <w:p w14:paraId="2A0A9ADC"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Which OUV key value</w:t>
            </w:r>
            <w:r>
              <w:rPr>
                <w:rFonts w:ascii="Georgia" w:hAnsi="Georgia" w:cs="Times New Roman"/>
                <w:sz w:val="18"/>
                <w:szCs w:val="18"/>
              </w:rPr>
              <w:t>(s)</w:t>
            </w:r>
            <w:r w:rsidRPr="005E0208">
              <w:rPr>
                <w:rFonts w:ascii="Georgia" w:hAnsi="Georgia" w:cs="Times New Roman"/>
                <w:sz w:val="18"/>
                <w:szCs w:val="18"/>
              </w:rPr>
              <w:t xml:space="preserve"> is being affected positively or negatively by </w:t>
            </w:r>
            <w:r w:rsidRPr="005E0208">
              <w:rPr>
                <w:rFonts w:ascii="Georgia" w:hAnsi="Georgia"/>
                <w:sz w:val="18"/>
                <w:szCs w:val="18"/>
              </w:rPr>
              <w:t>“Renewable energy”, “energy from Oil and Gas” and “Coastal flood defense and protection” activities</w:t>
            </w:r>
            <w:r w:rsidRPr="005E0208">
              <w:rPr>
                <w:rFonts w:ascii="Georgia" w:hAnsi="Georgia" w:cs="Times New Roman"/>
                <w:sz w:val="18"/>
                <w:szCs w:val="18"/>
              </w:rPr>
              <w:t xml:space="preserve">? </w:t>
            </w:r>
            <w:r w:rsidRPr="00781D99">
              <w:rPr>
                <w:rFonts w:ascii="Georgia" w:hAnsi="Georgia" w:cs="Times New Roman"/>
                <w:sz w:val="18"/>
                <w:szCs w:val="18"/>
              </w:rPr>
              <w:t xml:space="preserve">(see Annex </w:t>
            </w:r>
            <w:r>
              <w:rPr>
                <w:rFonts w:ascii="Georgia" w:hAnsi="Georgia" w:cs="Times New Roman"/>
                <w:sz w:val="18"/>
                <w:szCs w:val="18"/>
              </w:rPr>
              <w:t>5</w:t>
            </w:r>
            <w:r w:rsidRPr="00781D99">
              <w:rPr>
                <w:rFonts w:ascii="Georgia" w:hAnsi="Georgia" w:cs="Times New Roman"/>
                <w:sz w:val="18"/>
                <w:szCs w:val="18"/>
              </w:rPr>
              <w:t xml:space="preserve">: </w:t>
            </w:r>
            <w:r w:rsidRPr="009B41B4">
              <w:rPr>
                <w:rFonts w:ascii="Georgia" w:hAnsi="Georgia" w:cs="Times New Roman"/>
                <w:sz w:val="18"/>
                <w:szCs w:val="18"/>
              </w:rPr>
              <w:t>Statement of OUV for the Wadden Sea World Heritage Site and derived draft key values</w:t>
            </w:r>
            <w:r>
              <w:rPr>
                <w:rStyle w:val="Funotenzeichen"/>
                <w:rFonts w:ascii="Georgia" w:hAnsi="Georgia"/>
                <w:sz w:val="18"/>
                <w:szCs w:val="18"/>
              </w:rPr>
              <w:footnoteReference w:id="1"/>
            </w:r>
            <w:r w:rsidRPr="00781D99">
              <w:rPr>
                <w:rFonts w:ascii="Georgia" w:hAnsi="Georgia" w:cs="Times New Roman"/>
                <w:sz w:val="18"/>
                <w:szCs w:val="18"/>
              </w:rPr>
              <w:t>)</w:t>
            </w:r>
            <w:r w:rsidRPr="005E0208">
              <w:rPr>
                <w:rFonts w:ascii="Georgia" w:hAnsi="Georgia" w:cs="Times New Roman"/>
                <w:sz w:val="18"/>
                <w:szCs w:val="18"/>
              </w:rPr>
              <w:t>.</w:t>
            </w:r>
          </w:p>
        </w:tc>
      </w:tr>
      <w:tr w:rsidR="00493357" w:rsidRPr="005E0208" w14:paraId="4D1CBB2A" w14:textId="77777777" w:rsidTr="00493357">
        <w:tc>
          <w:tcPr>
            <w:tcW w:w="3662" w:type="dxa"/>
          </w:tcPr>
          <w:p w14:paraId="01787CEF"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Threats and opportunities</w:t>
            </w:r>
          </w:p>
        </w:tc>
        <w:tc>
          <w:tcPr>
            <w:tcW w:w="5954" w:type="dxa"/>
            <w:gridSpan w:val="2"/>
          </w:tcPr>
          <w:p w14:paraId="065D8750"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Pr>
                <w:rFonts w:ascii="Georgia" w:hAnsi="Georgia" w:cs="Times New Roman"/>
                <w:sz w:val="18"/>
                <w:szCs w:val="18"/>
              </w:rPr>
              <w:t>Conduct a deeper analysis on the c</w:t>
            </w:r>
            <w:r w:rsidRPr="00BF40D6">
              <w:rPr>
                <w:rFonts w:ascii="Georgia" w:hAnsi="Georgia" w:cs="Times New Roman"/>
                <w:sz w:val="18"/>
                <w:szCs w:val="18"/>
              </w:rPr>
              <w:t>onflict</w:t>
            </w:r>
            <w:r>
              <w:rPr>
                <w:rFonts w:ascii="Georgia" w:hAnsi="Georgia" w:cs="Times New Roman"/>
                <w:sz w:val="18"/>
                <w:szCs w:val="18"/>
              </w:rPr>
              <w:t xml:space="preserve">s </w:t>
            </w:r>
            <w:r w:rsidRPr="005E0208">
              <w:rPr>
                <w:rFonts w:ascii="Georgia" w:hAnsi="Georgia" w:cs="Times New Roman"/>
                <w:sz w:val="18"/>
                <w:szCs w:val="18"/>
              </w:rPr>
              <w:t>with the OUV key value</w:t>
            </w:r>
            <w:r>
              <w:rPr>
                <w:rFonts w:ascii="Georgia" w:hAnsi="Georgia" w:cs="Times New Roman"/>
                <w:sz w:val="18"/>
                <w:szCs w:val="18"/>
              </w:rPr>
              <w:t>(</w:t>
            </w:r>
            <w:r w:rsidRPr="005E0208">
              <w:rPr>
                <w:rFonts w:ascii="Georgia" w:hAnsi="Georgia" w:cs="Times New Roman"/>
                <w:sz w:val="18"/>
                <w:szCs w:val="18"/>
              </w:rPr>
              <w:t>s</w:t>
            </w:r>
            <w:r>
              <w:rPr>
                <w:rFonts w:ascii="Georgia" w:hAnsi="Georgia" w:cs="Times New Roman"/>
                <w:sz w:val="18"/>
                <w:szCs w:val="18"/>
              </w:rPr>
              <w:t>).</w:t>
            </w:r>
          </w:p>
        </w:tc>
      </w:tr>
      <w:tr w:rsidR="00493357" w:rsidRPr="005E0208" w14:paraId="5CD621D7" w14:textId="77777777" w:rsidTr="00493357">
        <w:tc>
          <w:tcPr>
            <w:tcW w:w="3662" w:type="dxa"/>
          </w:tcPr>
          <w:p w14:paraId="62451AF2"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 xml:space="preserve">Strategies and actions for management </w:t>
            </w:r>
          </w:p>
        </w:tc>
        <w:tc>
          <w:tcPr>
            <w:tcW w:w="5954" w:type="dxa"/>
            <w:gridSpan w:val="2"/>
          </w:tcPr>
          <w:p w14:paraId="1027AAF5"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Pr>
                <w:rFonts w:ascii="Georgia" w:hAnsi="Georgia" w:cs="Times New Roman"/>
                <w:sz w:val="18"/>
                <w:szCs w:val="18"/>
              </w:rPr>
              <w:t xml:space="preserve">Identify the existing or define new strategies and actions for managing the spotted threats and opportunities. </w:t>
            </w:r>
            <w:r w:rsidRPr="005E0208">
              <w:rPr>
                <w:rFonts w:ascii="Georgia" w:hAnsi="Georgia" w:cs="Times New Roman"/>
                <w:sz w:val="18"/>
                <w:szCs w:val="18"/>
              </w:rPr>
              <w:t xml:space="preserve">Link to the existing management and monitoring tools: </w:t>
            </w:r>
            <w:r>
              <w:rPr>
                <w:rFonts w:ascii="Georgia" w:hAnsi="Georgia" w:cs="Times New Roman"/>
                <w:sz w:val="18"/>
                <w:szCs w:val="18"/>
              </w:rPr>
              <w:t>s</w:t>
            </w:r>
            <w:r w:rsidRPr="005E0208">
              <w:rPr>
                <w:rFonts w:ascii="Georgia" w:hAnsi="Georgia" w:cs="Times New Roman"/>
                <w:sz w:val="18"/>
                <w:szCs w:val="18"/>
              </w:rPr>
              <w:t>patial planning, national strategies (for coastal protection), Wadden Sea Strategy, Code of conduct, Leeuwarden Declaration</w:t>
            </w:r>
            <w:r>
              <w:rPr>
                <w:rFonts w:ascii="Georgia" w:hAnsi="Georgia" w:cs="Times New Roman"/>
                <w:sz w:val="18"/>
                <w:szCs w:val="18"/>
              </w:rPr>
              <w:t>.</w:t>
            </w:r>
          </w:p>
        </w:tc>
      </w:tr>
      <w:tr w:rsidR="00493357" w:rsidRPr="005E0208" w14:paraId="3EBCA5B8" w14:textId="77777777" w:rsidTr="00493357">
        <w:tc>
          <w:tcPr>
            <w:tcW w:w="3662" w:type="dxa"/>
          </w:tcPr>
          <w:p w14:paraId="1DDD0EB9"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 xml:space="preserve">Monitoring, </w:t>
            </w:r>
            <w:r w:rsidRPr="005E0208">
              <w:rPr>
                <w:rFonts w:ascii="Georgia" w:hAnsi="Georgia"/>
                <w:b/>
                <w:bCs/>
                <w:sz w:val="18"/>
                <w:szCs w:val="18"/>
              </w:rPr>
              <w:t>data collection and data management</w:t>
            </w:r>
          </w:p>
        </w:tc>
        <w:tc>
          <w:tcPr>
            <w:tcW w:w="5954" w:type="dxa"/>
            <w:gridSpan w:val="2"/>
          </w:tcPr>
          <w:p w14:paraId="448A8BF9"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Ask for support from TG-MA</w:t>
            </w:r>
            <w:r>
              <w:rPr>
                <w:rFonts w:ascii="Georgia" w:hAnsi="Georgia" w:cs="Times New Roman"/>
                <w:sz w:val="18"/>
                <w:szCs w:val="18"/>
              </w:rPr>
              <w:t>.</w:t>
            </w:r>
          </w:p>
          <w:p w14:paraId="1228B536"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p>
        </w:tc>
      </w:tr>
      <w:tr w:rsidR="00493357" w:rsidRPr="005E0208" w14:paraId="71B8A939" w14:textId="77777777" w:rsidTr="00493357">
        <w:tc>
          <w:tcPr>
            <w:tcW w:w="3662" w:type="dxa"/>
          </w:tcPr>
          <w:p w14:paraId="662E5A29" w14:textId="77777777" w:rsidR="00493357" w:rsidRDefault="00493357" w:rsidP="00610E9B">
            <w:pPr>
              <w:pStyle w:val="Textkrper-Zeileneinzug"/>
              <w:spacing w:after="120" w:line="276" w:lineRule="auto"/>
              <w:ind w:left="0" w:firstLine="0"/>
              <w:contextualSpacing/>
              <w:rPr>
                <w:rFonts w:ascii="Georgia" w:hAnsi="Georgia" w:cs="Times New Roman"/>
                <w:b/>
                <w:bCs/>
                <w:sz w:val="18"/>
                <w:szCs w:val="18"/>
              </w:rPr>
            </w:pPr>
          </w:p>
          <w:p w14:paraId="1B45BA54"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E0208">
              <w:rPr>
                <w:rFonts w:ascii="Georgia" w:hAnsi="Georgia" w:cs="Times New Roman"/>
                <w:b/>
                <w:bCs/>
                <w:sz w:val="18"/>
                <w:szCs w:val="18"/>
              </w:rPr>
              <w:t>Climate change</w:t>
            </w:r>
          </w:p>
        </w:tc>
        <w:tc>
          <w:tcPr>
            <w:tcW w:w="5954" w:type="dxa"/>
            <w:gridSpan w:val="2"/>
          </w:tcPr>
          <w:p w14:paraId="5D09DD6A" w14:textId="77777777" w:rsidR="00493357" w:rsidRDefault="00493357" w:rsidP="00610E9B">
            <w:pPr>
              <w:pStyle w:val="Textkrper-Zeileneinzug"/>
              <w:spacing w:after="120" w:line="276" w:lineRule="auto"/>
              <w:ind w:left="0" w:firstLine="0"/>
              <w:contextualSpacing/>
              <w:rPr>
                <w:rFonts w:ascii="Georgia" w:hAnsi="Georgia" w:cs="Times New Roman"/>
                <w:sz w:val="18"/>
                <w:szCs w:val="18"/>
              </w:rPr>
            </w:pPr>
          </w:p>
          <w:p w14:paraId="5E800E7D"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 xml:space="preserve">Relation </w:t>
            </w:r>
            <w:r>
              <w:rPr>
                <w:rFonts w:ascii="Georgia" w:hAnsi="Georgia" w:cs="Times New Roman"/>
                <w:sz w:val="18"/>
                <w:szCs w:val="18"/>
              </w:rPr>
              <w:t xml:space="preserve">to </w:t>
            </w:r>
            <w:r w:rsidRPr="005E0208">
              <w:rPr>
                <w:rFonts w:ascii="Georgia" w:hAnsi="Georgia" w:cs="Times New Roman"/>
                <w:sz w:val="18"/>
                <w:szCs w:val="18"/>
              </w:rPr>
              <w:t xml:space="preserve">and potential </w:t>
            </w:r>
            <w:r>
              <w:rPr>
                <w:rFonts w:ascii="Georgia" w:hAnsi="Georgia" w:cs="Times New Roman"/>
                <w:sz w:val="18"/>
                <w:szCs w:val="18"/>
              </w:rPr>
              <w:t>interaction with</w:t>
            </w:r>
            <w:r w:rsidRPr="005E0208">
              <w:rPr>
                <w:rFonts w:ascii="Georgia" w:hAnsi="Georgia" w:cs="Times New Roman"/>
                <w:sz w:val="18"/>
                <w:szCs w:val="18"/>
              </w:rPr>
              <w:t xml:space="preserve"> climate change.</w:t>
            </w:r>
          </w:p>
        </w:tc>
      </w:tr>
      <w:tr w:rsidR="00493357" w:rsidRPr="005E0208" w14:paraId="2148FE40" w14:textId="77777777" w:rsidTr="00493357">
        <w:tc>
          <w:tcPr>
            <w:tcW w:w="3662" w:type="dxa"/>
            <w:tcBorders>
              <w:bottom w:val="single" w:sz="4" w:space="0" w:color="auto"/>
            </w:tcBorders>
          </w:tcPr>
          <w:p w14:paraId="5440EB6A" w14:textId="77777777" w:rsidR="00493357" w:rsidRPr="005E0208" w:rsidRDefault="00493357" w:rsidP="00610E9B">
            <w:pPr>
              <w:pStyle w:val="Textkrper-Zeileneinzug"/>
              <w:spacing w:after="120" w:line="276" w:lineRule="auto"/>
              <w:ind w:left="0" w:firstLine="0"/>
              <w:contextualSpacing/>
              <w:rPr>
                <w:rFonts w:ascii="Georgia" w:hAnsi="Georgia" w:cs="Times New Roman"/>
                <w:b/>
                <w:bCs/>
                <w:sz w:val="18"/>
                <w:szCs w:val="18"/>
              </w:rPr>
            </w:pPr>
            <w:r w:rsidRPr="00590222">
              <w:rPr>
                <w:rFonts w:ascii="Georgia" w:hAnsi="Georgia" w:cs="Times New Roman"/>
                <w:b/>
                <w:bCs/>
                <w:sz w:val="18"/>
                <w:szCs w:val="18"/>
              </w:rPr>
              <w:t>Projects &amp; Budget</w:t>
            </w:r>
          </w:p>
        </w:tc>
        <w:tc>
          <w:tcPr>
            <w:tcW w:w="5954" w:type="dxa"/>
            <w:gridSpan w:val="2"/>
            <w:tcBorders>
              <w:bottom w:val="single" w:sz="4" w:space="0" w:color="auto"/>
            </w:tcBorders>
          </w:tcPr>
          <w:p w14:paraId="59941726" w14:textId="77777777" w:rsidR="00493357" w:rsidRPr="005E0208" w:rsidRDefault="00493357" w:rsidP="00610E9B">
            <w:pPr>
              <w:pStyle w:val="Textkrper-Zeileneinzug"/>
              <w:spacing w:after="120" w:line="276" w:lineRule="auto"/>
              <w:ind w:left="0" w:firstLine="0"/>
              <w:contextualSpacing/>
              <w:rPr>
                <w:rFonts w:ascii="Georgia" w:hAnsi="Georgia" w:cs="Times New Roman"/>
                <w:sz w:val="18"/>
                <w:szCs w:val="18"/>
              </w:rPr>
            </w:pPr>
            <w:r w:rsidRPr="005E0208">
              <w:rPr>
                <w:rFonts w:ascii="Georgia" w:hAnsi="Georgia" w:cs="Times New Roman"/>
                <w:sz w:val="18"/>
                <w:szCs w:val="18"/>
              </w:rPr>
              <w:t>In the future ideas of joint projects may arise while working on the topic.</w:t>
            </w:r>
          </w:p>
        </w:tc>
      </w:tr>
      <w:tr w:rsidR="00493357" w:rsidRPr="00327C9D" w14:paraId="68ADFFA3" w14:textId="77777777" w:rsidTr="00493357">
        <w:tc>
          <w:tcPr>
            <w:tcW w:w="3662" w:type="dxa"/>
            <w:tcBorders>
              <w:top w:val="single" w:sz="4" w:space="0" w:color="auto"/>
              <w:bottom w:val="single" w:sz="4" w:space="0" w:color="auto"/>
            </w:tcBorders>
          </w:tcPr>
          <w:p w14:paraId="084E90E1" w14:textId="77777777" w:rsidR="00493357" w:rsidRPr="00327C9D" w:rsidRDefault="00493357" w:rsidP="00610E9B">
            <w:pPr>
              <w:pStyle w:val="Textkrper-Zeileneinzug"/>
              <w:spacing w:before="240" w:after="120" w:line="276" w:lineRule="auto"/>
              <w:ind w:left="0" w:firstLine="0"/>
              <w:contextualSpacing/>
              <w:rPr>
                <w:rFonts w:ascii="Georgia" w:hAnsi="Georgia" w:cs="Times New Roman"/>
                <w:b/>
                <w:bCs/>
                <w:sz w:val="18"/>
                <w:szCs w:val="18"/>
              </w:rPr>
            </w:pPr>
            <w:r w:rsidRPr="00327C9D">
              <w:rPr>
                <w:rFonts w:ascii="Georgia" w:hAnsi="Georgia" w:cs="Times New Roman"/>
                <w:b/>
                <w:bCs/>
                <w:sz w:val="18"/>
                <w:szCs w:val="18"/>
              </w:rPr>
              <w:t>W</w:t>
            </w:r>
            <w:r>
              <w:rPr>
                <w:rFonts w:ascii="Georgia" w:hAnsi="Georgia" w:cs="Times New Roman"/>
                <w:b/>
                <w:bCs/>
                <w:sz w:val="18"/>
                <w:szCs w:val="18"/>
              </w:rPr>
              <w:t>ho</w:t>
            </w:r>
          </w:p>
        </w:tc>
        <w:tc>
          <w:tcPr>
            <w:tcW w:w="5954" w:type="dxa"/>
            <w:gridSpan w:val="2"/>
            <w:tcBorders>
              <w:top w:val="single" w:sz="4" w:space="0" w:color="auto"/>
              <w:bottom w:val="single" w:sz="4" w:space="0" w:color="auto"/>
            </w:tcBorders>
          </w:tcPr>
          <w:p w14:paraId="4918C0FC" w14:textId="77777777" w:rsidR="00493357" w:rsidRPr="00327C9D" w:rsidRDefault="00493357" w:rsidP="00610E9B">
            <w:pPr>
              <w:pStyle w:val="Textkrper-Zeileneinzug"/>
              <w:spacing w:before="240" w:after="120" w:line="276" w:lineRule="auto"/>
              <w:ind w:left="0" w:firstLine="0"/>
              <w:contextualSpacing/>
              <w:rPr>
                <w:rFonts w:ascii="Georgia" w:hAnsi="Georgia" w:cs="Times New Roman"/>
                <w:b/>
                <w:bCs/>
                <w:sz w:val="18"/>
                <w:szCs w:val="18"/>
              </w:rPr>
            </w:pPr>
          </w:p>
          <w:p w14:paraId="55B054B1" w14:textId="77777777" w:rsidR="00493357" w:rsidRPr="00327C9D" w:rsidRDefault="00493357" w:rsidP="00610E9B">
            <w:pPr>
              <w:pStyle w:val="Textkrper-Zeileneinzug"/>
              <w:spacing w:after="120" w:line="276" w:lineRule="auto"/>
              <w:ind w:left="0" w:firstLine="0"/>
              <w:contextualSpacing/>
              <w:rPr>
                <w:rFonts w:ascii="Georgia" w:hAnsi="Georgia" w:cs="Times New Roman"/>
                <w:b/>
                <w:bCs/>
                <w:sz w:val="18"/>
                <w:szCs w:val="18"/>
              </w:rPr>
            </w:pPr>
            <w:r w:rsidRPr="00327C9D">
              <w:rPr>
                <w:rFonts w:ascii="Georgia" w:hAnsi="Georgia" w:cs="Times New Roman"/>
                <w:sz w:val="18"/>
                <w:szCs w:val="18"/>
              </w:rPr>
              <w:t>TG-M to propose working approach</w:t>
            </w:r>
            <w:r>
              <w:rPr>
                <w:rFonts w:ascii="Georgia" w:hAnsi="Georgia" w:cs="Times New Roman"/>
                <w:sz w:val="18"/>
                <w:szCs w:val="18"/>
              </w:rPr>
              <w:t>.</w:t>
            </w:r>
          </w:p>
        </w:tc>
      </w:tr>
      <w:tr w:rsidR="00493357" w:rsidRPr="0009117A" w14:paraId="042ACC84" w14:textId="77777777" w:rsidTr="00493357">
        <w:tc>
          <w:tcPr>
            <w:tcW w:w="3804" w:type="dxa"/>
            <w:gridSpan w:val="2"/>
            <w:tcBorders>
              <w:top w:val="single" w:sz="4" w:space="0" w:color="auto"/>
              <w:bottom w:val="single" w:sz="4" w:space="0" w:color="auto"/>
            </w:tcBorders>
          </w:tcPr>
          <w:p w14:paraId="7634FB49" w14:textId="77777777" w:rsidR="00493357" w:rsidRPr="0009117A" w:rsidRDefault="00493357" w:rsidP="00610E9B">
            <w:pPr>
              <w:pStyle w:val="Textkrper-Zeileneinzug"/>
              <w:spacing w:after="120" w:line="276" w:lineRule="auto"/>
              <w:ind w:left="0" w:firstLine="0"/>
              <w:contextualSpacing/>
              <w:rPr>
                <w:rFonts w:ascii="Georgia" w:hAnsi="Georgia" w:cs="Times New Roman"/>
                <w:b/>
                <w:bCs/>
              </w:rPr>
            </w:pPr>
            <w:r w:rsidRPr="000F5B47">
              <w:rPr>
                <w:rFonts w:ascii="Georgia" w:hAnsi="Georgia" w:cs="Times New Roman"/>
                <w:b/>
                <w:bCs/>
                <w:sz w:val="18"/>
                <w:szCs w:val="18"/>
              </w:rPr>
              <w:t xml:space="preserve">Next </w:t>
            </w:r>
            <w:r>
              <w:rPr>
                <w:rFonts w:ascii="Georgia" w:hAnsi="Georgia" w:cs="Times New Roman"/>
                <w:b/>
                <w:bCs/>
                <w:sz w:val="18"/>
                <w:szCs w:val="18"/>
              </w:rPr>
              <w:t xml:space="preserve">immediate </w:t>
            </w:r>
            <w:r w:rsidRPr="000F5B47">
              <w:rPr>
                <w:rFonts w:ascii="Georgia" w:hAnsi="Georgia" w:cs="Times New Roman"/>
                <w:b/>
                <w:bCs/>
                <w:sz w:val="18"/>
                <w:szCs w:val="18"/>
              </w:rPr>
              <w:t>steps</w:t>
            </w:r>
          </w:p>
        </w:tc>
        <w:tc>
          <w:tcPr>
            <w:tcW w:w="5812" w:type="dxa"/>
            <w:tcBorders>
              <w:top w:val="single" w:sz="4" w:space="0" w:color="auto"/>
              <w:bottom w:val="single" w:sz="4" w:space="0" w:color="auto"/>
            </w:tcBorders>
          </w:tcPr>
          <w:p w14:paraId="69990F03" w14:textId="77777777" w:rsidR="00493357" w:rsidRDefault="00493357" w:rsidP="00493357">
            <w:pPr>
              <w:pStyle w:val="Textkrper-Zeileneinzug"/>
              <w:numPr>
                <w:ilvl w:val="0"/>
                <w:numId w:val="2"/>
              </w:numPr>
              <w:spacing w:after="120" w:line="276" w:lineRule="auto"/>
              <w:contextualSpacing/>
              <w:rPr>
                <w:rFonts w:ascii="Georgia" w:hAnsi="Georgia"/>
                <w:sz w:val="18"/>
                <w:szCs w:val="18"/>
              </w:rPr>
            </w:pPr>
            <w:r>
              <w:rPr>
                <w:rFonts w:ascii="Georgia" w:hAnsi="Georgia"/>
                <w:sz w:val="18"/>
                <w:szCs w:val="18"/>
              </w:rPr>
              <w:t>D</w:t>
            </w:r>
            <w:r w:rsidRPr="000F5B47">
              <w:rPr>
                <w:rFonts w:ascii="Georgia" w:hAnsi="Georgia"/>
                <w:sz w:val="18"/>
                <w:szCs w:val="18"/>
              </w:rPr>
              <w:t xml:space="preserve">raft the </w:t>
            </w:r>
            <w:r>
              <w:rPr>
                <w:rFonts w:ascii="Georgia" w:hAnsi="Georgia"/>
                <w:sz w:val="18"/>
                <w:szCs w:val="18"/>
              </w:rPr>
              <w:t xml:space="preserve">content of the </w:t>
            </w:r>
            <w:r w:rsidRPr="000F5B47">
              <w:rPr>
                <w:rFonts w:ascii="Georgia" w:hAnsi="Georgia"/>
                <w:sz w:val="18"/>
                <w:szCs w:val="18"/>
              </w:rPr>
              <w:t xml:space="preserve">heading “Inventory” </w:t>
            </w:r>
            <w:r>
              <w:rPr>
                <w:rFonts w:ascii="Georgia" w:hAnsi="Georgia" w:cs="Times New Roman"/>
                <w:sz w:val="18"/>
                <w:szCs w:val="18"/>
              </w:rPr>
              <w:t>focusing on the</w:t>
            </w:r>
            <w:r w:rsidRPr="005E0208">
              <w:rPr>
                <w:rFonts w:ascii="Georgia" w:hAnsi="Georgia" w:cs="Times New Roman"/>
                <w:sz w:val="18"/>
                <w:szCs w:val="18"/>
              </w:rPr>
              <w:t xml:space="preserve"> legal framework</w:t>
            </w:r>
            <w:r>
              <w:rPr>
                <w:rFonts w:ascii="Georgia" w:hAnsi="Georgia" w:cs="Times New Roman"/>
                <w:sz w:val="18"/>
                <w:szCs w:val="18"/>
              </w:rPr>
              <w:t>, revise and improve</w:t>
            </w:r>
            <w:r>
              <w:rPr>
                <w:rFonts w:ascii="Georgia" w:hAnsi="Georgia"/>
                <w:sz w:val="18"/>
                <w:szCs w:val="18"/>
              </w:rPr>
              <w:t>.</w:t>
            </w:r>
          </w:p>
          <w:p w14:paraId="2FE1CAB8" w14:textId="77777777" w:rsidR="00493357" w:rsidRPr="000F5B47" w:rsidRDefault="00493357" w:rsidP="00493357">
            <w:pPr>
              <w:pStyle w:val="Textkrper-Zeileneinzug"/>
              <w:numPr>
                <w:ilvl w:val="0"/>
                <w:numId w:val="2"/>
              </w:numPr>
              <w:spacing w:after="120" w:line="276" w:lineRule="auto"/>
              <w:contextualSpacing/>
              <w:rPr>
                <w:rFonts w:ascii="Georgia" w:hAnsi="Georgia"/>
                <w:sz w:val="18"/>
                <w:szCs w:val="18"/>
              </w:rPr>
            </w:pPr>
            <w:r>
              <w:rPr>
                <w:rFonts w:ascii="Georgia" w:hAnsi="Georgia"/>
                <w:sz w:val="18"/>
                <w:szCs w:val="18"/>
              </w:rPr>
              <w:t xml:space="preserve">TG-M to propose </w:t>
            </w:r>
            <w:r w:rsidRPr="00327C9D">
              <w:rPr>
                <w:rFonts w:ascii="Georgia" w:hAnsi="Georgia" w:cs="Times New Roman"/>
                <w:sz w:val="18"/>
                <w:szCs w:val="18"/>
              </w:rPr>
              <w:t>working approach</w:t>
            </w:r>
            <w:r w:rsidRPr="000F5B47">
              <w:rPr>
                <w:rFonts w:ascii="Georgia" w:hAnsi="Georgia"/>
                <w:sz w:val="18"/>
                <w:szCs w:val="18"/>
              </w:rPr>
              <w:t>.</w:t>
            </w:r>
          </w:p>
        </w:tc>
      </w:tr>
    </w:tbl>
    <w:p w14:paraId="78F484FE" w14:textId="77777777" w:rsidR="00493357" w:rsidRDefault="00493357" w:rsidP="00493357">
      <w:pPr>
        <w:pStyle w:val="Textkrper-Zeileneinzug"/>
        <w:spacing w:after="120" w:line="276" w:lineRule="auto"/>
        <w:ind w:left="0" w:firstLine="0"/>
        <w:contextualSpacing/>
        <w:rPr>
          <w:rFonts w:ascii="Georgia" w:hAnsi="Georgia" w:cs="Times New Roman"/>
          <w:szCs w:val="22"/>
        </w:rPr>
      </w:pPr>
    </w:p>
    <w:p w14:paraId="1068DA26" w14:textId="77777777" w:rsidR="001F4FB2" w:rsidRPr="00493357" w:rsidRDefault="001F4FB2" w:rsidP="008561DC">
      <w:pPr>
        <w:spacing w:after="200" w:line="276" w:lineRule="auto"/>
        <w:rPr>
          <w:sz w:val="22"/>
          <w:szCs w:val="22"/>
        </w:rPr>
      </w:pPr>
    </w:p>
    <w:sectPr w:rsidR="001F4FB2" w:rsidRPr="00493357" w:rsidSect="009148DD">
      <w:headerReference w:type="default" r:id="rId15"/>
      <w:footerReference w:type="default" r:id="rId16"/>
      <w:footerReference w:type="firs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711925" w:rsidRDefault="00711925" w:rsidP="00B965C7">
      <w:r>
        <w:separator/>
      </w:r>
    </w:p>
  </w:endnote>
  <w:endnote w:type="continuationSeparator" w:id="0">
    <w:p w14:paraId="192519BA" w14:textId="77777777" w:rsidR="00711925" w:rsidRDefault="00711925"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RotisSansSerif">
    <w:altName w:val="Calibri"/>
    <w:panose1 w:val="00000000000000000000"/>
    <w:charset w:val="00"/>
    <w:family w:val="swiss"/>
    <w:notTrueType/>
    <w:pitch w:val="default"/>
    <w:sig w:usb0="00000003" w:usb1="00000000" w:usb2="00000000" w:usb3="00000000" w:csb0="00000001" w:csb1="00000000"/>
  </w:font>
  <w:font w:name="Rotis Sans Serif Std">
    <w:altName w:val="Rotis Sans Serif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711925" w:rsidRPr="003C34F6" w:rsidRDefault="00711925" w:rsidP="009148DD">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711925" w:rsidRDefault="00711925"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711925" w:rsidRDefault="00711925" w:rsidP="002570E2">
    <w:pPr>
      <w:tabs>
        <w:tab w:val="left" w:pos="7770"/>
      </w:tabs>
      <w:rPr>
        <w:rFonts w:ascii="Arial" w:hAnsi="Arial" w:cs="Arial"/>
        <w:color w:val="003047"/>
        <w:sz w:val="20"/>
        <w:szCs w:val="20"/>
      </w:rPr>
    </w:pPr>
  </w:p>
  <w:p w14:paraId="6A466FA5" w14:textId="77777777" w:rsidR="00711925" w:rsidRDefault="00711925" w:rsidP="002570E2">
    <w:pPr>
      <w:tabs>
        <w:tab w:val="left" w:pos="7770"/>
      </w:tabs>
      <w:rPr>
        <w:rFonts w:ascii="Arial" w:hAnsi="Arial" w:cs="Arial"/>
        <w:color w:val="003047"/>
        <w:sz w:val="20"/>
        <w:szCs w:val="20"/>
      </w:rPr>
    </w:pPr>
  </w:p>
  <w:p w14:paraId="2B360700" w14:textId="77777777" w:rsidR="00711925" w:rsidRDefault="00711925" w:rsidP="002570E2">
    <w:pPr>
      <w:tabs>
        <w:tab w:val="left" w:pos="7770"/>
      </w:tabs>
      <w:rPr>
        <w:rFonts w:ascii="Arial" w:hAnsi="Arial" w:cs="Arial"/>
        <w:color w:val="003047"/>
        <w:sz w:val="20"/>
        <w:szCs w:val="20"/>
      </w:rPr>
    </w:pPr>
  </w:p>
  <w:p w14:paraId="52B760B8" w14:textId="77777777" w:rsidR="00711925" w:rsidRDefault="00711925" w:rsidP="002570E2">
    <w:pPr>
      <w:tabs>
        <w:tab w:val="left" w:pos="7770"/>
      </w:tabs>
      <w:rPr>
        <w:rFonts w:ascii="Arial" w:hAnsi="Arial" w:cs="Arial"/>
        <w:color w:val="003047"/>
        <w:sz w:val="20"/>
        <w:szCs w:val="20"/>
      </w:rPr>
    </w:pPr>
  </w:p>
  <w:p w14:paraId="600644E3" w14:textId="77777777" w:rsidR="00711925" w:rsidRDefault="00711925" w:rsidP="002570E2">
    <w:pPr>
      <w:tabs>
        <w:tab w:val="left" w:pos="7770"/>
      </w:tabs>
      <w:rPr>
        <w:rFonts w:ascii="Arial" w:hAnsi="Arial" w:cs="Arial"/>
        <w:color w:val="003047"/>
        <w:sz w:val="20"/>
        <w:szCs w:val="20"/>
      </w:rPr>
    </w:pPr>
  </w:p>
  <w:p w14:paraId="6B8DB4B2" w14:textId="77777777" w:rsidR="00711925" w:rsidRPr="006607D8" w:rsidRDefault="00711925"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711925" w:rsidRDefault="00711925" w:rsidP="00B965C7">
      <w:r>
        <w:separator/>
      </w:r>
    </w:p>
  </w:footnote>
  <w:footnote w:type="continuationSeparator" w:id="0">
    <w:p w14:paraId="17123C98" w14:textId="77777777" w:rsidR="00711925" w:rsidRDefault="00711925" w:rsidP="00B965C7">
      <w:r>
        <w:continuationSeparator/>
      </w:r>
    </w:p>
  </w:footnote>
  <w:footnote w:id="1">
    <w:p w14:paraId="579F0872" w14:textId="77777777" w:rsidR="00493357" w:rsidRPr="00322E2B" w:rsidRDefault="00493357" w:rsidP="00493357">
      <w:pPr>
        <w:pStyle w:val="Funotentext"/>
      </w:pPr>
      <w:r>
        <w:rPr>
          <w:rStyle w:val="Funotenzeichen"/>
        </w:rPr>
        <w:footnoteRef/>
      </w:r>
      <w:r>
        <w:t xml:space="preserve"> </w:t>
      </w:r>
      <w:r>
        <w:rPr>
          <w:rFonts w:ascii="Georgia" w:hAnsi="Georgia"/>
          <w:sz w:val="18"/>
          <w:szCs w:val="18"/>
        </w:rPr>
        <w:t>OUV k</w:t>
      </w:r>
      <w:r w:rsidRPr="00781D99">
        <w:rPr>
          <w:rFonts w:ascii="Georgia" w:hAnsi="Georgia"/>
          <w:sz w:val="18"/>
          <w:szCs w:val="18"/>
        </w:rPr>
        <w:t>ey values are</w:t>
      </w:r>
      <w:r>
        <w:rPr>
          <w:rFonts w:ascii="Georgia" w:hAnsi="Georgia"/>
          <w:sz w:val="18"/>
          <w:szCs w:val="18"/>
        </w:rPr>
        <w:t xml:space="preserve"> directly</w:t>
      </w:r>
      <w:r w:rsidRPr="00781D99">
        <w:rPr>
          <w:rFonts w:ascii="Georgia" w:hAnsi="Georgia"/>
          <w:sz w:val="18"/>
          <w:szCs w:val="18"/>
        </w:rPr>
        <w:t xml:space="preserve"> derived from the Statement of OUV of the Wadden Sea World Heritage Property. These</w:t>
      </w:r>
      <w:r>
        <w:rPr>
          <w:rFonts w:ascii="Georgia" w:hAnsi="Georgia"/>
          <w:sz w:val="18"/>
          <w:szCs w:val="18"/>
        </w:rPr>
        <w:t xml:space="preserve"> key values</w:t>
      </w:r>
      <w:r w:rsidRPr="00781D99">
        <w:rPr>
          <w:rFonts w:ascii="Georgia" w:hAnsi="Georgia"/>
          <w:sz w:val="18"/>
          <w:szCs w:val="18"/>
        </w:rPr>
        <w:t xml:space="preserve"> </w:t>
      </w:r>
      <w:r>
        <w:rPr>
          <w:rFonts w:ascii="Georgia" w:hAnsi="Georgia"/>
          <w:sz w:val="18"/>
          <w:szCs w:val="18"/>
        </w:rPr>
        <w:t>are also being applied</w:t>
      </w:r>
      <w:r w:rsidRPr="00781D99">
        <w:rPr>
          <w:rFonts w:ascii="Georgia" w:hAnsi="Georgia"/>
          <w:sz w:val="18"/>
          <w:szCs w:val="18"/>
        </w:rPr>
        <w:t xml:space="preserve"> in the </w:t>
      </w:r>
      <w:r>
        <w:rPr>
          <w:rFonts w:ascii="Georgia" w:hAnsi="Georgia"/>
          <w:sz w:val="18"/>
          <w:szCs w:val="18"/>
        </w:rPr>
        <w:t>climate variability analysis (</w:t>
      </w:r>
      <w:r w:rsidRPr="00781D99">
        <w:rPr>
          <w:rFonts w:ascii="Georgia" w:hAnsi="Georgia"/>
          <w:sz w:val="18"/>
          <w:szCs w:val="18"/>
        </w:rPr>
        <w:t>CVI</w:t>
      </w:r>
      <w:r>
        <w:rPr>
          <w:rFonts w:ascii="Georgia" w:hAnsi="Georgia"/>
          <w:sz w:val="18"/>
          <w:szCs w:val="18"/>
        </w:rPr>
        <w:t>)</w:t>
      </w:r>
      <w:r w:rsidRPr="00781D99">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3B0F96FC" w:rsidR="00711925" w:rsidRPr="00A72074" w:rsidRDefault="00711925" w:rsidP="00A72074">
    <w:pPr>
      <w:pStyle w:val="Kopfzeile"/>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w:t>
    </w:r>
    <w:r w:rsidR="00964692">
      <w:rPr>
        <w:rFonts w:ascii="Georgia" w:hAnsi="Georgia"/>
        <w:color w:val="808080" w:themeColor="background1" w:themeShade="80"/>
        <w:sz w:val="18"/>
        <w:szCs w:val="18"/>
      </w:rPr>
      <w:t>8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B37"/>
    <w:multiLevelType w:val="hybridMultilevel"/>
    <w:tmpl w:val="58624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3F5F2A"/>
    <w:multiLevelType w:val="hybridMultilevel"/>
    <w:tmpl w:val="58624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263232"/>
    <w:multiLevelType w:val="hybridMultilevel"/>
    <w:tmpl w:val="C40CAB3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B77117"/>
    <w:multiLevelType w:val="hybridMultilevel"/>
    <w:tmpl w:val="58624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A16353F"/>
    <w:multiLevelType w:val="hybridMultilevel"/>
    <w:tmpl w:val="58624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894A4A"/>
    <w:multiLevelType w:val="hybridMultilevel"/>
    <w:tmpl w:val="82964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4B2A95"/>
    <w:multiLevelType w:val="hybridMultilevel"/>
    <w:tmpl w:val="A89C0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254CE"/>
    <w:rsid w:val="000478D3"/>
    <w:rsid w:val="00054CC3"/>
    <w:rsid w:val="00073712"/>
    <w:rsid w:val="00094518"/>
    <w:rsid w:val="00097A80"/>
    <w:rsid w:val="000A1308"/>
    <w:rsid w:val="000A6D0F"/>
    <w:rsid w:val="000B7E8C"/>
    <w:rsid w:val="00122938"/>
    <w:rsid w:val="00126DDE"/>
    <w:rsid w:val="00127A4A"/>
    <w:rsid w:val="00133CDB"/>
    <w:rsid w:val="00147DE8"/>
    <w:rsid w:val="00172260"/>
    <w:rsid w:val="001A1925"/>
    <w:rsid w:val="001A4598"/>
    <w:rsid w:val="001A5AB5"/>
    <w:rsid w:val="001B6A8B"/>
    <w:rsid w:val="001D044E"/>
    <w:rsid w:val="001F1AF9"/>
    <w:rsid w:val="001F3F04"/>
    <w:rsid w:val="001F4228"/>
    <w:rsid w:val="001F4FB2"/>
    <w:rsid w:val="00215254"/>
    <w:rsid w:val="00240AFF"/>
    <w:rsid w:val="0024597E"/>
    <w:rsid w:val="002570E2"/>
    <w:rsid w:val="002A2851"/>
    <w:rsid w:val="002A7406"/>
    <w:rsid w:val="002C701D"/>
    <w:rsid w:val="002D5AE4"/>
    <w:rsid w:val="0032060E"/>
    <w:rsid w:val="003238F5"/>
    <w:rsid w:val="00324417"/>
    <w:rsid w:val="003443E9"/>
    <w:rsid w:val="00353020"/>
    <w:rsid w:val="00365C52"/>
    <w:rsid w:val="00375A0E"/>
    <w:rsid w:val="00385EA4"/>
    <w:rsid w:val="00395AD3"/>
    <w:rsid w:val="003E2F99"/>
    <w:rsid w:val="003F3549"/>
    <w:rsid w:val="003F4A4D"/>
    <w:rsid w:val="004022A4"/>
    <w:rsid w:val="00411E3A"/>
    <w:rsid w:val="004205EB"/>
    <w:rsid w:val="00457ED1"/>
    <w:rsid w:val="0048049E"/>
    <w:rsid w:val="0048782E"/>
    <w:rsid w:val="00493357"/>
    <w:rsid w:val="004D65C1"/>
    <w:rsid w:val="004F46FF"/>
    <w:rsid w:val="0050563B"/>
    <w:rsid w:val="0051671D"/>
    <w:rsid w:val="0051787B"/>
    <w:rsid w:val="00527DA2"/>
    <w:rsid w:val="005371A8"/>
    <w:rsid w:val="00541D44"/>
    <w:rsid w:val="00567BCF"/>
    <w:rsid w:val="00577229"/>
    <w:rsid w:val="00585567"/>
    <w:rsid w:val="005F0948"/>
    <w:rsid w:val="005F4667"/>
    <w:rsid w:val="00606CD1"/>
    <w:rsid w:val="00607CFF"/>
    <w:rsid w:val="00612B66"/>
    <w:rsid w:val="00696CA7"/>
    <w:rsid w:val="006B18FF"/>
    <w:rsid w:val="006B5CC2"/>
    <w:rsid w:val="006C4493"/>
    <w:rsid w:val="00711925"/>
    <w:rsid w:val="007131BC"/>
    <w:rsid w:val="00721513"/>
    <w:rsid w:val="007810A3"/>
    <w:rsid w:val="007861D9"/>
    <w:rsid w:val="00795532"/>
    <w:rsid w:val="007A6FA2"/>
    <w:rsid w:val="007D52A1"/>
    <w:rsid w:val="007F0012"/>
    <w:rsid w:val="007F7201"/>
    <w:rsid w:val="00823C77"/>
    <w:rsid w:val="00842A2F"/>
    <w:rsid w:val="008561DC"/>
    <w:rsid w:val="00877E5A"/>
    <w:rsid w:val="008C20DA"/>
    <w:rsid w:val="008C66A3"/>
    <w:rsid w:val="008C6F73"/>
    <w:rsid w:val="009148DD"/>
    <w:rsid w:val="00917DB4"/>
    <w:rsid w:val="00923B78"/>
    <w:rsid w:val="009270FB"/>
    <w:rsid w:val="009377EB"/>
    <w:rsid w:val="00964692"/>
    <w:rsid w:val="00980B05"/>
    <w:rsid w:val="00987517"/>
    <w:rsid w:val="00991952"/>
    <w:rsid w:val="00991DE6"/>
    <w:rsid w:val="0099448A"/>
    <w:rsid w:val="009B426B"/>
    <w:rsid w:val="009C46AF"/>
    <w:rsid w:val="009C68F7"/>
    <w:rsid w:val="009E3DA6"/>
    <w:rsid w:val="009E51CB"/>
    <w:rsid w:val="009F5C63"/>
    <w:rsid w:val="00A0036B"/>
    <w:rsid w:val="00A032FB"/>
    <w:rsid w:val="00A35BAB"/>
    <w:rsid w:val="00A55EDE"/>
    <w:rsid w:val="00A72074"/>
    <w:rsid w:val="00A739B9"/>
    <w:rsid w:val="00A9506D"/>
    <w:rsid w:val="00AB1A53"/>
    <w:rsid w:val="00AC3D0D"/>
    <w:rsid w:val="00AF752E"/>
    <w:rsid w:val="00B466A5"/>
    <w:rsid w:val="00B73FDE"/>
    <w:rsid w:val="00B756DE"/>
    <w:rsid w:val="00B870FA"/>
    <w:rsid w:val="00B965C7"/>
    <w:rsid w:val="00BB06F2"/>
    <w:rsid w:val="00BB66E1"/>
    <w:rsid w:val="00BD16B6"/>
    <w:rsid w:val="00BE7334"/>
    <w:rsid w:val="00C02F3A"/>
    <w:rsid w:val="00C11985"/>
    <w:rsid w:val="00C62064"/>
    <w:rsid w:val="00C624B3"/>
    <w:rsid w:val="00C639BC"/>
    <w:rsid w:val="00C70CF9"/>
    <w:rsid w:val="00C7703C"/>
    <w:rsid w:val="00C85B9D"/>
    <w:rsid w:val="00CA4088"/>
    <w:rsid w:val="00CB1F70"/>
    <w:rsid w:val="00CC4A26"/>
    <w:rsid w:val="00CC58C8"/>
    <w:rsid w:val="00CC7A53"/>
    <w:rsid w:val="00CD0E61"/>
    <w:rsid w:val="00CF2A42"/>
    <w:rsid w:val="00CF2D42"/>
    <w:rsid w:val="00CF5980"/>
    <w:rsid w:val="00D15F5E"/>
    <w:rsid w:val="00D1728D"/>
    <w:rsid w:val="00D46FA3"/>
    <w:rsid w:val="00D71F93"/>
    <w:rsid w:val="00D83F90"/>
    <w:rsid w:val="00DA1753"/>
    <w:rsid w:val="00DB7395"/>
    <w:rsid w:val="00DC630A"/>
    <w:rsid w:val="00DC6CAE"/>
    <w:rsid w:val="00DD6B84"/>
    <w:rsid w:val="00DE308A"/>
    <w:rsid w:val="00DE3789"/>
    <w:rsid w:val="00DE3D4D"/>
    <w:rsid w:val="00DE4F0B"/>
    <w:rsid w:val="00E1799E"/>
    <w:rsid w:val="00E27E32"/>
    <w:rsid w:val="00E33800"/>
    <w:rsid w:val="00E42FBB"/>
    <w:rsid w:val="00E747D9"/>
    <w:rsid w:val="00E7694D"/>
    <w:rsid w:val="00E915A1"/>
    <w:rsid w:val="00EA070D"/>
    <w:rsid w:val="00EC7B6F"/>
    <w:rsid w:val="00F2063F"/>
    <w:rsid w:val="00F411B2"/>
    <w:rsid w:val="00F50816"/>
    <w:rsid w:val="00F55AD6"/>
    <w:rsid w:val="00F56A9B"/>
    <w:rsid w:val="00F86FAD"/>
    <w:rsid w:val="00FA1A29"/>
    <w:rsid w:val="00FB418E"/>
    <w:rsid w:val="00FF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3F04"/>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DE3D4D"/>
    <w:pPr>
      <w:spacing w:after="120" w:line="276" w:lineRule="auto"/>
      <w:outlineLvl w:val="0"/>
    </w:pPr>
    <w:rPr>
      <w:rFonts w:ascii="Arial" w:hAnsi="Arial" w:cs="Arial"/>
      <w:sz w:val="28"/>
      <w:szCs w:val="28"/>
      <w:lang w:val="en-GB"/>
    </w:rPr>
  </w:style>
  <w:style w:type="paragraph" w:styleId="berschrift2">
    <w:name w:val="heading 2"/>
    <w:basedOn w:val="Standard"/>
    <w:next w:val="Standard"/>
    <w:link w:val="berschrift2Zchn"/>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berschrift5">
    <w:name w:val="heading 5"/>
    <w:basedOn w:val="Standard"/>
    <w:next w:val="Standard"/>
    <w:link w:val="berschrift5Zchn"/>
    <w:uiPriority w:val="9"/>
    <w:semiHidden/>
    <w:unhideWhenUsed/>
    <w:qFormat/>
    <w:rsid w:val="00CC4A2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561DC"/>
    <w:pPr>
      <w:tabs>
        <w:tab w:val="center" w:pos="4703"/>
        <w:tab w:val="right" w:pos="9406"/>
      </w:tabs>
    </w:pPr>
  </w:style>
  <w:style w:type="character" w:customStyle="1" w:styleId="KopfzeileZchn">
    <w:name w:val="Kopfzeile Zchn"/>
    <w:basedOn w:val="Absatz-Standardschriftart"/>
    <w:link w:val="Kopfzeile"/>
    <w:uiPriority w:val="99"/>
    <w:rsid w:val="008561DC"/>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8561DC"/>
    <w:pPr>
      <w:tabs>
        <w:tab w:val="center" w:pos="4703"/>
        <w:tab w:val="right" w:pos="9406"/>
      </w:tabs>
    </w:pPr>
  </w:style>
  <w:style w:type="character" w:customStyle="1" w:styleId="FuzeileZchn">
    <w:name w:val="Fußzeile Zchn"/>
    <w:basedOn w:val="Absatz-Standardschriftart"/>
    <w:link w:val="Fuzeile"/>
    <w:uiPriority w:val="99"/>
    <w:rsid w:val="008561DC"/>
    <w:rPr>
      <w:rFonts w:ascii="Times New Roman" w:eastAsia="Times New Roman" w:hAnsi="Times New Roman" w:cs="Times New Roman"/>
      <w:sz w:val="24"/>
      <w:szCs w:val="24"/>
      <w:lang w:val="en-US"/>
    </w:rPr>
  </w:style>
  <w:style w:type="paragraph" w:styleId="Listenabsatz">
    <w:name w:val="List Paragraph"/>
    <w:basedOn w:val="Standard"/>
    <w:uiPriority w:val="34"/>
    <w:qFormat/>
    <w:rsid w:val="00010D2D"/>
    <w:pPr>
      <w:ind w:left="720"/>
      <w:contextualSpacing/>
    </w:pPr>
  </w:style>
  <w:style w:type="paragraph" w:styleId="Sprechblasentext">
    <w:name w:val="Balloon Text"/>
    <w:basedOn w:val="Standard"/>
    <w:link w:val="SprechblasentextZchn"/>
    <w:uiPriority w:val="99"/>
    <w:semiHidden/>
    <w:unhideWhenUsed/>
    <w:rsid w:val="00E27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E32"/>
    <w:rPr>
      <w:rFonts w:ascii="Tahoma" w:eastAsia="Times New Roman" w:hAnsi="Tahoma" w:cs="Tahoma"/>
      <w:sz w:val="16"/>
      <w:szCs w:val="16"/>
      <w:lang w:val="en-US"/>
    </w:rPr>
  </w:style>
  <w:style w:type="character" w:styleId="Hyperlink">
    <w:name w:val="Hyperlink"/>
    <w:basedOn w:val="Absatz-Standardschriftart"/>
    <w:uiPriority w:val="99"/>
    <w:unhideWhenUsed/>
    <w:rsid w:val="009C46AF"/>
    <w:rPr>
      <w:color w:val="0000FF" w:themeColor="hyperlink"/>
      <w:u w:val="single"/>
    </w:rPr>
  </w:style>
  <w:style w:type="character" w:styleId="NichtaufgelsteErwhnung">
    <w:name w:val="Unresolved Mention"/>
    <w:basedOn w:val="Absatz-Standardschriftart"/>
    <w:uiPriority w:val="99"/>
    <w:semiHidden/>
    <w:unhideWhenUsed/>
    <w:rsid w:val="009C46AF"/>
    <w:rPr>
      <w:color w:val="605E5C"/>
      <w:shd w:val="clear" w:color="auto" w:fill="E1DFDD"/>
    </w:rPr>
  </w:style>
  <w:style w:type="paragraph" w:styleId="Endnotentext">
    <w:name w:val="endnote text"/>
    <w:basedOn w:val="Standard"/>
    <w:link w:val="EndnotentextZchn"/>
    <w:uiPriority w:val="99"/>
    <w:semiHidden/>
    <w:unhideWhenUsed/>
    <w:rsid w:val="00987517"/>
    <w:rPr>
      <w:sz w:val="20"/>
      <w:szCs w:val="20"/>
    </w:rPr>
  </w:style>
  <w:style w:type="character" w:customStyle="1" w:styleId="EndnotentextZchn">
    <w:name w:val="Endnotentext Zchn"/>
    <w:basedOn w:val="Absatz-Standardschriftart"/>
    <w:link w:val="Endnotentext"/>
    <w:uiPriority w:val="99"/>
    <w:semiHidden/>
    <w:rsid w:val="00987517"/>
    <w:rPr>
      <w:rFonts w:ascii="Times New Roman" w:eastAsia="Times New Roman" w:hAnsi="Times New Roman" w:cs="Times New Roman"/>
      <w:sz w:val="20"/>
      <w:szCs w:val="20"/>
      <w:lang w:val="en-US"/>
    </w:rPr>
  </w:style>
  <w:style w:type="character" w:styleId="Endnotenzeichen">
    <w:name w:val="endnote reference"/>
    <w:basedOn w:val="Absatz-Standardschriftart"/>
    <w:uiPriority w:val="99"/>
    <w:semiHidden/>
    <w:unhideWhenUsed/>
    <w:rsid w:val="00987517"/>
    <w:rPr>
      <w:vertAlign w:val="superscript"/>
    </w:rPr>
  </w:style>
  <w:style w:type="character" w:customStyle="1" w:styleId="berschrift2Zchn">
    <w:name w:val="Überschrift 2 Zchn"/>
    <w:basedOn w:val="Absatz-Standardschriftart"/>
    <w:link w:val="berschrift2"/>
    <w:uiPriority w:val="9"/>
    <w:rsid w:val="00DE3D4D"/>
    <w:rPr>
      <w:rFonts w:ascii="Arial" w:eastAsiaTheme="majorEastAsia" w:hAnsi="Arial" w:cs="Arial"/>
      <w:b/>
      <w:bCs/>
      <w:color w:val="000000" w:themeColor="text1"/>
      <w:sz w:val="24"/>
      <w:szCs w:val="24"/>
    </w:rPr>
  </w:style>
  <w:style w:type="character" w:customStyle="1" w:styleId="berschrift1Zchn">
    <w:name w:val="Überschrift 1 Zchn"/>
    <w:basedOn w:val="Absatz-Standardschriftart"/>
    <w:link w:val="berschrift1"/>
    <w:uiPriority w:val="9"/>
    <w:rsid w:val="00DE3D4D"/>
    <w:rPr>
      <w:rFonts w:ascii="Arial" w:eastAsia="Times New Roman" w:hAnsi="Arial" w:cs="Arial"/>
      <w:sz w:val="28"/>
      <w:szCs w:val="28"/>
    </w:rPr>
  </w:style>
  <w:style w:type="paragraph" w:customStyle="1" w:styleId="6captions">
    <w:name w:val="6 captions"/>
    <w:basedOn w:val="Standard"/>
    <w:qFormat/>
    <w:rsid w:val="001F4FB2"/>
    <w:pPr>
      <w:spacing w:after="170" w:line="340" w:lineRule="exact"/>
      <w:ind w:left="567" w:right="567"/>
    </w:pPr>
    <w:rPr>
      <w:rFonts w:ascii="Georgia" w:eastAsiaTheme="minorEastAsia" w:hAnsi="Georgia" w:cs="Arial"/>
      <w:i/>
      <w:color w:val="279DCE"/>
      <w:sz w:val="22"/>
      <w:szCs w:val="22"/>
    </w:rPr>
  </w:style>
  <w:style w:type="paragraph" w:styleId="Textkrper-Zeileneinzug">
    <w:name w:val="Body Text Indent"/>
    <w:basedOn w:val="Standard"/>
    <w:link w:val="Textkrper-ZeileneinzugZchn"/>
    <w:rsid w:val="003F3549"/>
    <w:pPr>
      <w:ind w:left="360" w:hanging="360"/>
    </w:pPr>
    <w:rPr>
      <w:rFonts w:ascii="Arial" w:hAnsi="Arial" w:cs="Arial"/>
      <w:sz w:val="20"/>
      <w:szCs w:val="20"/>
    </w:rPr>
  </w:style>
  <w:style w:type="character" w:customStyle="1" w:styleId="Textkrper-ZeileneinzugZchn">
    <w:name w:val="Textkörper-Zeileneinzug Zchn"/>
    <w:basedOn w:val="Absatz-Standardschriftart"/>
    <w:link w:val="Textkrper-Zeileneinzug"/>
    <w:rsid w:val="003F3549"/>
    <w:rPr>
      <w:rFonts w:ascii="Arial" w:eastAsia="Times New Roman" w:hAnsi="Arial" w:cs="Arial"/>
      <w:sz w:val="20"/>
      <w:szCs w:val="20"/>
      <w:lang w:val="en-US"/>
    </w:rPr>
  </w:style>
  <w:style w:type="table" w:styleId="Tabellenraster">
    <w:name w:val="Table Grid"/>
    <w:basedOn w:val="NormaleTabelle"/>
    <w:uiPriority w:val="59"/>
    <w:rsid w:val="00E4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5">
    <w:name w:val="Grid Table 5 Dark Accent 5"/>
    <w:basedOn w:val="NormaleTabelle"/>
    <w:uiPriority w:val="50"/>
    <w:rsid w:val="00126D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Kommentarzeichen">
    <w:name w:val="annotation reference"/>
    <w:basedOn w:val="Absatz-Standardschriftart"/>
    <w:uiPriority w:val="99"/>
    <w:semiHidden/>
    <w:unhideWhenUsed/>
    <w:rsid w:val="00612B66"/>
    <w:rPr>
      <w:sz w:val="16"/>
      <w:szCs w:val="16"/>
    </w:rPr>
  </w:style>
  <w:style w:type="paragraph" w:styleId="Kommentartext">
    <w:name w:val="annotation text"/>
    <w:basedOn w:val="Standard"/>
    <w:link w:val="KommentartextZchn"/>
    <w:uiPriority w:val="99"/>
    <w:semiHidden/>
    <w:unhideWhenUsed/>
    <w:rsid w:val="00612B66"/>
    <w:rPr>
      <w:sz w:val="20"/>
      <w:szCs w:val="20"/>
    </w:rPr>
  </w:style>
  <w:style w:type="character" w:customStyle="1" w:styleId="KommentartextZchn">
    <w:name w:val="Kommentartext Zchn"/>
    <w:basedOn w:val="Absatz-Standardschriftart"/>
    <w:link w:val="Kommentartext"/>
    <w:uiPriority w:val="99"/>
    <w:semiHidden/>
    <w:rsid w:val="00612B66"/>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612B66"/>
    <w:rPr>
      <w:b/>
      <w:bCs/>
    </w:rPr>
  </w:style>
  <w:style w:type="character" w:customStyle="1" w:styleId="KommentarthemaZchn">
    <w:name w:val="Kommentarthema Zchn"/>
    <w:basedOn w:val="KommentartextZchn"/>
    <w:link w:val="Kommentarthema"/>
    <w:uiPriority w:val="99"/>
    <w:semiHidden/>
    <w:rsid w:val="00612B66"/>
    <w:rPr>
      <w:rFonts w:ascii="Times New Roman" w:eastAsia="Times New Roman" w:hAnsi="Times New Roman" w:cs="Times New Roman"/>
      <w:b/>
      <w:bCs/>
      <w:sz w:val="20"/>
      <w:szCs w:val="20"/>
      <w:lang w:val="en-US"/>
    </w:rPr>
  </w:style>
  <w:style w:type="paragraph" w:styleId="HTMLVorformatiert">
    <w:name w:val="HTML Preformatted"/>
    <w:basedOn w:val="Standard"/>
    <w:link w:val="HTMLVorformatiertZchn"/>
    <w:uiPriority w:val="99"/>
    <w:unhideWhenUsed/>
    <w:rsid w:val="00AC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AC3D0D"/>
    <w:rPr>
      <w:rFonts w:ascii="Courier New" w:eastAsia="Times New Roman" w:hAnsi="Courier New" w:cs="Courier New"/>
      <w:sz w:val="20"/>
      <w:szCs w:val="20"/>
      <w:lang w:val="de-DE" w:eastAsia="de-DE"/>
    </w:rPr>
  </w:style>
  <w:style w:type="character" w:customStyle="1" w:styleId="berschrift5Zchn">
    <w:name w:val="Überschrift 5 Zchn"/>
    <w:basedOn w:val="Absatz-Standardschriftart"/>
    <w:link w:val="berschrift5"/>
    <w:rsid w:val="00CC4A26"/>
    <w:rPr>
      <w:rFonts w:asciiTheme="majorHAnsi" w:eastAsiaTheme="majorEastAsia" w:hAnsiTheme="majorHAnsi" w:cstheme="majorBidi"/>
      <w:color w:val="365F91" w:themeColor="accent1" w:themeShade="BF"/>
      <w:sz w:val="24"/>
      <w:szCs w:val="24"/>
      <w:lang w:val="en-US"/>
    </w:rPr>
  </w:style>
  <w:style w:type="paragraph" w:styleId="Funotentext">
    <w:name w:val="footnote text"/>
    <w:basedOn w:val="Standard"/>
    <w:link w:val="FunotentextZchn"/>
    <w:uiPriority w:val="99"/>
    <w:semiHidden/>
    <w:unhideWhenUsed/>
    <w:rsid w:val="00493357"/>
    <w:rPr>
      <w:sz w:val="20"/>
      <w:szCs w:val="20"/>
    </w:rPr>
  </w:style>
  <w:style w:type="character" w:customStyle="1" w:styleId="FunotentextZchn">
    <w:name w:val="Fußnotentext Zchn"/>
    <w:basedOn w:val="Absatz-Standardschriftart"/>
    <w:link w:val="Funotentext"/>
    <w:uiPriority w:val="99"/>
    <w:semiHidden/>
    <w:rsid w:val="00493357"/>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493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5849">
      <w:bodyDiv w:val="1"/>
      <w:marLeft w:val="0"/>
      <w:marRight w:val="0"/>
      <w:marTop w:val="0"/>
      <w:marBottom w:val="0"/>
      <w:divBdr>
        <w:top w:val="none" w:sz="0" w:space="0" w:color="auto"/>
        <w:left w:val="none" w:sz="0" w:space="0" w:color="auto"/>
        <w:bottom w:val="none" w:sz="0" w:space="0" w:color="auto"/>
        <w:right w:val="none" w:sz="0" w:space="0" w:color="auto"/>
      </w:divBdr>
      <w:divsChild>
        <w:div w:id="783303939">
          <w:marLeft w:val="0"/>
          <w:marRight w:val="0"/>
          <w:marTop w:val="0"/>
          <w:marBottom w:val="0"/>
          <w:divBdr>
            <w:top w:val="none" w:sz="0" w:space="0" w:color="auto"/>
            <w:left w:val="none" w:sz="0" w:space="0" w:color="auto"/>
            <w:bottom w:val="none" w:sz="0" w:space="0" w:color="auto"/>
            <w:right w:val="none" w:sz="0" w:space="0" w:color="auto"/>
          </w:divBdr>
          <w:divsChild>
            <w:div w:id="655261472">
              <w:marLeft w:val="0"/>
              <w:marRight w:val="0"/>
              <w:marTop w:val="0"/>
              <w:marBottom w:val="0"/>
              <w:divBdr>
                <w:top w:val="none" w:sz="0" w:space="0" w:color="auto"/>
                <w:left w:val="none" w:sz="0" w:space="0" w:color="auto"/>
                <w:bottom w:val="none" w:sz="0" w:space="0" w:color="auto"/>
                <w:right w:val="none" w:sz="0" w:space="0" w:color="auto"/>
              </w:divBdr>
              <w:divsChild>
                <w:div w:id="1117260682">
                  <w:marLeft w:val="0"/>
                  <w:marRight w:val="0"/>
                  <w:marTop w:val="0"/>
                  <w:marBottom w:val="0"/>
                  <w:divBdr>
                    <w:top w:val="none" w:sz="0" w:space="0" w:color="auto"/>
                    <w:left w:val="none" w:sz="0" w:space="0" w:color="auto"/>
                    <w:bottom w:val="none" w:sz="0" w:space="0" w:color="auto"/>
                    <w:right w:val="none" w:sz="0" w:space="0" w:color="auto"/>
                  </w:divBdr>
                  <w:divsChild>
                    <w:div w:id="13857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c.europa.eu/energ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nergy/en/topics/energy-strategy-and-energy-union/energy-un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wss-dc01\cwss\02%20Trilateral%20Cooperation\2.5%20Task%20Groups\TG-MM\TG-M%202019%20-\TG-M%2020-1\docs\ec.europa.eu\energy"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una\Documents\SIMP\01__SIMP%20Preliminary%20Structure\Document\Energ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Tabelle1!$I$3</c:f>
              <c:strCache>
                <c:ptCount val="1"/>
                <c:pt idx="0">
                  <c:v>Germany</c:v>
                </c:pt>
              </c:strCache>
            </c:strRef>
          </c:tx>
          <c:spPr>
            <a:solidFill>
              <a:schemeClr val="accent1">
                <a:shade val="65000"/>
              </a:schemeClr>
            </a:solidFill>
            <a:ln>
              <a:noFill/>
            </a:ln>
            <a:effectLst/>
          </c:spPr>
          <c:invertIfNegative val="0"/>
          <c:cat>
            <c:numRef>
              <c:f>Tabelle1!$H$4:$H$9</c:f>
              <c:numCache>
                <c:formatCode>General</c:formatCode>
                <c:ptCount val="6"/>
                <c:pt idx="0">
                  <c:v>2020</c:v>
                </c:pt>
                <c:pt idx="1">
                  <c:v>2030</c:v>
                </c:pt>
                <c:pt idx="2">
                  <c:v>2014</c:v>
                </c:pt>
                <c:pt idx="3">
                  <c:v>2023</c:v>
                </c:pt>
                <c:pt idx="4">
                  <c:v>2014</c:v>
                </c:pt>
                <c:pt idx="5">
                  <c:v>2030</c:v>
                </c:pt>
              </c:numCache>
            </c:numRef>
          </c:cat>
          <c:val>
            <c:numRef>
              <c:f>Tabelle1!$I$4:$I$9</c:f>
              <c:numCache>
                <c:formatCode>General</c:formatCode>
                <c:ptCount val="6"/>
                <c:pt idx="0">
                  <c:v>6500</c:v>
                </c:pt>
                <c:pt idx="1">
                  <c:v>15000</c:v>
                </c:pt>
              </c:numCache>
            </c:numRef>
          </c:val>
          <c:extLst>
            <c:ext xmlns:c16="http://schemas.microsoft.com/office/drawing/2014/chart" uri="{C3380CC4-5D6E-409C-BE32-E72D297353CC}">
              <c16:uniqueId val="{00000000-3AED-4CEF-9A1E-D5CB92B7421F}"/>
            </c:ext>
          </c:extLst>
        </c:ser>
        <c:ser>
          <c:idx val="1"/>
          <c:order val="1"/>
          <c:tx>
            <c:strRef>
              <c:f>Tabelle1!$J$3</c:f>
              <c:strCache>
                <c:ptCount val="1"/>
                <c:pt idx="0">
                  <c:v>The Netherlands</c:v>
                </c:pt>
              </c:strCache>
            </c:strRef>
          </c:tx>
          <c:spPr>
            <a:solidFill>
              <a:schemeClr val="accent1"/>
            </a:solidFill>
            <a:ln>
              <a:noFill/>
            </a:ln>
            <a:effectLst/>
          </c:spPr>
          <c:invertIfNegative val="0"/>
          <c:cat>
            <c:numRef>
              <c:f>Tabelle1!$H$4:$H$9</c:f>
              <c:numCache>
                <c:formatCode>General</c:formatCode>
                <c:ptCount val="6"/>
                <c:pt idx="0">
                  <c:v>2020</c:v>
                </c:pt>
                <c:pt idx="1">
                  <c:v>2030</c:v>
                </c:pt>
                <c:pt idx="2">
                  <c:v>2014</c:v>
                </c:pt>
                <c:pt idx="3">
                  <c:v>2023</c:v>
                </c:pt>
                <c:pt idx="4">
                  <c:v>2014</c:v>
                </c:pt>
                <c:pt idx="5">
                  <c:v>2030</c:v>
                </c:pt>
              </c:numCache>
            </c:numRef>
          </c:cat>
          <c:val>
            <c:numRef>
              <c:f>Tabelle1!$J$4:$J$9</c:f>
              <c:numCache>
                <c:formatCode>General</c:formatCode>
                <c:ptCount val="6"/>
                <c:pt idx="2">
                  <c:v>1000</c:v>
                </c:pt>
                <c:pt idx="3">
                  <c:v>4500</c:v>
                </c:pt>
              </c:numCache>
            </c:numRef>
          </c:val>
          <c:extLst>
            <c:ext xmlns:c16="http://schemas.microsoft.com/office/drawing/2014/chart" uri="{C3380CC4-5D6E-409C-BE32-E72D297353CC}">
              <c16:uniqueId val="{00000001-3AED-4CEF-9A1E-D5CB92B7421F}"/>
            </c:ext>
          </c:extLst>
        </c:ser>
        <c:ser>
          <c:idx val="2"/>
          <c:order val="2"/>
          <c:tx>
            <c:strRef>
              <c:f>Tabelle1!$K$3</c:f>
              <c:strCache>
                <c:ptCount val="1"/>
                <c:pt idx="0">
                  <c:v>Denmark</c:v>
                </c:pt>
              </c:strCache>
            </c:strRef>
          </c:tx>
          <c:spPr>
            <a:solidFill>
              <a:schemeClr val="accent1">
                <a:tint val="65000"/>
              </a:schemeClr>
            </a:solidFill>
            <a:ln>
              <a:noFill/>
            </a:ln>
            <a:effectLst/>
          </c:spPr>
          <c:invertIfNegative val="0"/>
          <c:cat>
            <c:numRef>
              <c:f>Tabelle1!$H$4:$H$9</c:f>
              <c:numCache>
                <c:formatCode>General</c:formatCode>
                <c:ptCount val="6"/>
                <c:pt idx="0">
                  <c:v>2020</c:v>
                </c:pt>
                <c:pt idx="1">
                  <c:v>2030</c:v>
                </c:pt>
                <c:pt idx="2">
                  <c:v>2014</c:v>
                </c:pt>
                <c:pt idx="3">
                  <c:v>2023</c:v>
                </c:pt>
                <c:pt idx="4">
                  <c:v>2014</c:v>
                </c:pt>
                <c:pt idx="5">
                  <c:v>2030</c:v>
                </c:pt>
              </c:numCache>
            </c:numRef>
          </c:cat>
          <c:val>
            <c:numRef>
              <c:f>Tabelle1!$K$4:$K$9</c:f>
              <c:numCache>
                <c:formatCode>General</c:formatCode>
                <c:ptCount val="6"/>
                <c:pt idx="4">
                  <c:v>4890</c:v>
                </c:pt>
                <c:pt idx="5">
                  <c:v>0</c:v>
                </c:pt>
              </c:numCache>
            </c:numRef>
          </c:val>
          <c:extLst>
            <c:ext xmlns:c16="http://schemas.microsoft.com/office/drawing/2014/chart" uri="{C3380CC4-5D6E-409C-BE32-E72D297353CC}">
              <c16:uniqueId val="{00000002-3AED-4CEF-9A1E-D5CB92B7421F}"/>
            </c:ext>
          </c:extLst>
        </c:ser>
        <c:dLbls>
          <c:showLegendKey val="0"/>
          <c:showVal val="0"/>
          <c:showCatName val="0"/>
          <c:showSerName val="0"/>
          <c:showPercent val="0"/>
          <c:showBubbleSize val="0"/>
        </c:dLbls>
        <c:gapWidth val="100"/>
        <c:overlap val="100"/>
        <c:axId val="343670560"/>
        <c:axId val="343671544"/>
      </c:barChart>
      <c:catAx>
        <c:axId val="34367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43671544"/>
        <c:crosses val="autoZero"/>
        <c:auto val="1"/>
        <c:lblAlgn val="ctr"/>
        <c:lblOffset val="100"/>
        <c:noMultiLvlLbl val="0"/>
      </c:catAx>
      <c:valAx>
        <c:axId val="34367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Megawatt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43670560"/>
        <c:crosses val="autoZero"/>
        <c:crossBetween val="between"/>
        <c:majorUnit val="2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1134-52FF-4FCF-BA47-57ECA009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1781</Words>
  <Characters>11226</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Soledad Luna</cp:lastModifiedBy>
  <cp:revision>39</cp:revision>
  <dcterms:created xsi:type="dcterms:W3CDTF">2020-03-03T07:44:00Z</dcterms:created>
  <dcterms:modified xsi:type="dcterms:W3CDTF">2020-03-17T09:28:00Z</dcterms:modified>
</cp:coreProperties>
</file>