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957D" w14:textId="00537F87" w:rsidR="003268D8" w:rsidRPr="006607D8" w:rsidRDefault="003268D8" w:rsidP="002F3C26">
      <w:pPr>
        <w:pStyle w:val="Heading1"/>
        <w:numPr>
          <w:ilvl w:val="0"/>
          <w:numId w:val="0"/>
        </w:numPr>
        <w:rPr>
          <w:sz w:val="20"/>
          <w:lang w:val="en-GB"/>
        </w:rPr>
      </w:pPr>
      <w:r w:rsidRPr="00884A64">
        <w:rPr>
          <w:noProof/>
          <w:sz w:val="20"/>
          <w:lang w:val="de-DE"/>
        </w:rPr>
        <w:drawing>
          <wp:anchor distT="0" distB="0" distL="114300" distR="114300" simplePos="0" relativeHeight="251660288" behindDoc="1" locked="0" layoutInCell="1" allowOverlap="1" wp14:anchorId="4A12DD88" wp14:editId="50C97F60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C5C0" w14:textId="77777777" w:rsidR="004F4C18" w:rsidRDefault="00781556" w:rsidP="0078155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781556">
        <w:rPr>
          <w:rFonts w:ascii="Arial" w:eastAsiaTheme="minorHAnsi" w:hAnsi="Arial" w:cs="Arial"/>
          <w:b/>
          <w:szCs w:val="36"/>
          <w:lang w:val="en-GB"/>
        </w:rPr>
        <w:t>Task Group Monitoring and Assessment</w:t>
      </w:r>
    </w:p>
    <w:p w14:paraId="63030B84" w14:textId="26667541" w:rsidR="00781556" w:rsidRDefault="004F4C18" w:rsidP="0078155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TG-MA 2</w:t>
      </w:r>
      <w:r w:rsidR="00BF61DE">
        <w:rPr>
          <w:rFonts w:ascii="Arial" w:eastAsiaTheme="minorHAnsi" w:hAnsi="Arial" w:cs="Arial"/>
          <w:b/>
          <w:szCs w:val="36"/>
          <w:lang w:val="en-GB"/>
        </w:rPr>
        <w:t>1</w:t>
      </w:r>
      <w:r>
        <w:rPr>
          <w:rFonts w:ascii="Arial" w:eastAsiaTheme="minorHAnsi" w:hAnsi="Arial" w:cs="Arial"/>
          <w:b/>
          <w:szCs w:val="36"/>
          <w:lang w:val="en-GB"/>
        </w:rPr>
        <w:t>-</w:t>
      </w:r>
      <w:r w:rsidR="00BF61DE" w:rsidRPr="00E775EC">
        <w:rPr>
          <w:rFonts w:ascii="Arial" w:eastAsiaTheme="minorHAnsi" w:hAnsi="Arial" w:cs="Arial"/>
          <w:b/>
          <w:szCs w:val="36"/>
          <w:lang w:val="en-GB"/>
        </w:rPr>
        <w:t>1</w:t>
      </w:r>
      <w:r w:rsidR="00781556" w:rsidRPr="00781556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6A7D4ED3" w14:textId="13D67FAB" w:rsidR="003268D8" w:rsidRPr="00C133E0" w:rsidRDefault="00BF61DE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E775EC">
        <w:rPr>
          <w:rFonts w:ascii="Georgia" w:eastAsia="Batang" w:hAnsi="Georgia"/>
          <w:sz w:val="20"/>
          <w:szCs w:val="20"/>
          <w:lang w:val="en-GB" w:eastAsia="ko-KR"/>
        </w:rPr>
        <w:t>20</w:t>
      </w:r>
      <w:r w:rsidR="00781556" w:rsidRPr="00781556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316F07">
        <w:rPr>
          <w:rFonts w:ascii="Georgia" w:eastAsia="Batang" w:hAnsi="Georgia"/>
          <w:sz w:val="20"/>
          <w:szCs w:val="20"/>
          <w:lang w:val="en-DE" w:eastAsia="ko-KR"/>
        </w:rPr>
        <w:t>J</w:t>
      </w:r>
      <w:proofErr w:type="spellStart"/>
      <w:r w:rsidRPr="00E775EC">
        <w:rPr>
          <w:rFonts w:ascii="Georgia" w:eastAsia="Batang" w:hAnsi="Georgia"/>
          <w:sz w:val="20"/>
          <w:szCs w:val="20"/>
          <w:lang w:val="en-GB" w:eastAsia="ko-KR"/>
        </w:rPr>
        <w:t>anuary</w:t>
      </w:r>
      <w:proofErr w:type="spellEnd"/>
      <w:r w:rsidR="00781556" w:rsidRPr="00781556">
        <w:rPr>
          <w:rFonts w:ascii="Georgia" w:eastAsia="Batang" w:hAnsi="Georgia"/>
          <w:sz w:val="20"/>
          <w:szCs w:val="20"/>
          <w:lang w:val="en-GB" w:eastAsia="ko-KR"/>
        </w:rPr>
        <w:t xml:space="preserve"> 202</w:t>
      </w:r>
      <w:r>
        <w:rPr>
          <w:rFonts w:ascii="Georgia" w:eastAsia="Batang" w:hAnsi="Georgia"/>
          <w:sz w:val="20"/>
          <w:szCs w:val="20"/>
          <w:lang w:val="en-GB" w:eastAsia="ko-KR"/>
        </w:rPr>
        <w:t>1</w:t>
      </w:r>
    </w:p>
    <w:p w14:paraId="6445E9EA" w14:textId="5417463B" w:rsidR="003268D8" w:rsidRPr="00C133E0" w:rsidRDefault="00B37EF2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-conference call-</w:t>
      </w:r>
    </w:p>
    <w:p w14:paraId="692B9A1C" w14:textId="77777777" w:rsidR="003D6D11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8C417C9" w14:textId="77777777" w:rsidR="00884A64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5D15E47" w14:textId="77777777" w:rsidR="003268D8" w:rsidRPr="003C34F6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6C1A7E9D" w14:textId="1E2B2353" w:rsidR="007D5514" w:rsidRPr="00F65B7E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DE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C40773" w:rsidRPr="00C40773">
        <w:rPr>
          <w:rFonts w:ascii="Georgia" w:hAnsi="Georgia"/>
          <w:bCs/>
          <w:sz w:val="20"/>
          <w:szCs w:val="22"/>
          <w:lang w:val="en-GB"/>
        </w:rPr>
        <w:t>5</w:t>
      </w:r>
      <w:r w:rsidR="00F65B7E">
        <w:rPr>
          <w:rFonts w:ascii="Georgia" w:hAnsi="Georgia"/>
          <w:bCs/>
          <w:sz w:val="20"/>
          <w:szCs w:val="22"/>
          <w:lang w:val="en-DE"/>
        </w:rPr>
        <w:t>. QSR</w:t>
      </w:r>
    </w:p>
    <w:p w14:paraId="4F784F69" w14:textId="66BA7A3F" w:rsidR="007D5514" w:rsidRPr="00E136E0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E775EC">
        <w:rPr>
          <w:rFonts w:ascii="Georgia" w:hAnsi="Georgia"/>
          <w:bCs/>
          <w:sz w:val="20"/>
          <w:szCs w:val="22"/>
          <w:lang w:val="en-GB"/>
        </w:rPr>
        <w:t>Set-up</w:t>
      </w:r>
      <w:r w:rsidR="00C40773" w:rsidRPr="00C40773">
        <w:rPr>
          <w:rFonts w:ascii="Georgia" w:hAnsi="Georgia"/>
          <w:bCs/>
          <w:sz w:val="20"/>
          <w:szCs w:val="22"/>
          <w:lang w:val="en-GB"/>
        </w:rPr>
        <w:t xml:space="preserve"> of</w:t>
      </w:r>
      <w:r w:rsidR="00C40773">
        <w:rPr>
          <w:rFonts w:ascii="Georgia" w:hAnsi="Georgia"/>
          <w:b/>
          <w:sz w:val="20"/>
          <w:szCs w:val="22"/>
          <w:lang w:val="en-GB"/>
        </w:rPr>
        <w:t xml:space="preserve"> </w:t>
      </w:r>
      <w:r w:rsidR="00F65B7E">
        <w:rPr>
          <w:rFonts w:ascii="Georgia" w:hAnsi="Georgia"/>
          <w:bCs/>
          <w:sz w:val="20"/>
          <w:szCs w:val="22"/>
          <w:lang w:val="en-DE"/>
        </w:rPr>
        <w:t>QSR Thematic Reports 202</w:t>
      </w:r>
      <w:r w:rsidR="00E136E0" w:rsidRPr="00E136E0">
        <w:rPr>
          <w:rFonts w:ascii="Georgia" w:hAnsi="Georgia"/>
          <w:bCs/>
          <w:sz w:val="20"/>
          <w:szCs w:val="22"/>
          <w:lang w:val="en-GB"/>
        </w:rPr>
        <w:t>0</w:t>
      </w:r>
      <w:r w:rsidR="00E136E0">
        <w:rPr>
          <w:rFonts w:ascii="Georgia" w:hAnsi="Georgia"/>
          <w:bCs/>
          <w:sz w:val="20"/>
          <w:szCs w:val="22"/>
          <w:lang w:val="en-GB"/>
        </w:rPr>
        <w:t>-22</w:t>
      </w:r>
    </w:p>
    <w:p w14:paraId="558B4B15" w14:textId="2D6C18F8" w:rsidR="007D5514" w:rsidRPr="00316F07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DE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3C34F6">
        <w:rPr>
          <w:rFonts w:ascii="Georgia" w:hAnsi="Georgia"/>
          <w:b/>
          <w:sz w:val="20"/>
          <w:szCs w:val="22"/>
          <w:lang w:val="en-GB"/>
        </w:rPr>
        <w:t>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AC1F71" w:rsidRPr="00852AA8">
        <w:rPr>
          <w:rFonts w:ascii="Georgia" w:hAnsi="Georgia"/>
          <w:bCs/>
          <w:sz w:val="20"/>
          <w:szCs w:val="22"/>
          <w:lang w:val="en-GB"/>
        </w:rPr>
        <w:t>TG-MA</w:t>
      </w:r>
      <w:r w:rsidR="00495F8E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AC1F71">
        <w:rPr>
          <w:rFonts w:ascii="Georgia" w:hAnsi="Georgia"/>
          <w:sz w:val="20"/>
          <w:szCs w:val="22"/>
          <w:lang w:val="en-GB"/>
        </w:rPr>
        <w:t>2</w:t>
      </w:r>
      <w:r w:rsidR="00C40773">
        <w:rPr>
          <w:rFonts w:ascii="Georgia" w:hAnsi="Georgia"/>
          <w:sz w:val="20"/>
          <w:szCs w:val="22"/>
          <w:lang w:val="en-GB"/>
        </w:rPr>
        <w:t>1</w:t>
      </w:r>
      <w:r w:rsidR="00E05DFD" w:rsidRPr="003C34F6">
        <w:rPr>
          <w:rFonts w:ascii="Georgia" w:hAnsi="Georgia"/>
          <w:sz w:val="20"/>
          <w:szCs w:val="22"/>
          <w:lang w:val="en-GB"/>
        </w:rPr>
        <w:t>/</w:t>
      </w:r>
      <w:r w:rsidR="00C40773" w:rsidRPr="00C40773">
        <w:rPr>
          <w:rFonts w:ascii="Georgia" w:hAnsi="Georgia"/>
          <w:sz w:val="20"/>
          <w:szCs w:val="22"/>
          <w:lang w:val="en-GB"/>
        </w:rPr>
        <w:t>1</w:t>
      </w:r>
      <w:r w:rsidR="00E05DFD" w:rsidRPr="003C34F6">
        <w:rPr>
          <w:rFonts w:ascii="Georgia" w:hAnsi="Georgia"/>
          <w:sz w:val="20"/>
          <w:szCs w:val="22"/>
          <w:lang w:val="en-GB"/>
        </w:rPr>
        <w:t>/</w:t>
      </w:r>
      <w:r w:rsidR="00C40773" w:rsidRPr="00C40773">
        <w:rPr>
          <w:rFonts w:ascii="Georgia" w:hAnsi="Georgia"/>
          <w:sz w:val="20"/>
          <w:szCs w:val="22"/>
          <w:lang w:val="en-GB"/>
        </w:rPr>
        <w:t>5</w:t>
      </w:r>
      <w:r w:rsidR="00AC1F71">
        <w:rPr>
          <w:rFonts w:ascii="Georgia" w:hAnsi="Georgia"/>
          <w:sz w:val="20"/>
          <w:szCs w:val="22"/>
          <w:lang w:val="en-GB"/>
        </w:rPr>
        <w:t>.</w:t>
      </w:r>
      <w:r w:rsidR="00316F07">
        <w:rPr>
          <w:rFonts w:ascii="Georgia" w:hAnsi="Georgia"/>
          <w:sz w:val="20"/>
          <w:szCs w:val="22"/>
          <w:lang w:val="en-DE"/>
        </w:rPr>
        <w:t>1</w:t>
      </w:r>
    </w:p>
    <w:p w14:paraId="5BCC3999" w14:textId="0671224A" w:rsidR="003D6D11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C40773">
        <w:rPr>
          <w:rFonts w:ascii="Georgia" w:hAnsi="Georgia"/>
          <w:sz w:val="20"/>
          <w:szCs w:val="22"/>
          <w:lang w:val="en-GB"/>
        </w:rPr>
        <w:t>19</w:t>
      </w:r>
      <w:r w:rsidR="00B51B2A">
        <w:rPr>
          <w:rFonts w:ascii="Georgia" w:hAnsi="Georgia"/>
          <w:sz w:val="20"/>
          <w:szCs w:val="22"/>
          <w:lang w:val="en-GB"/>
        </w:rPr>
        <w:t xml:space="preserve"> </w:t>
      </w:r>
      <w:r w:rsidR="00C40773" w:rsidRPr="00C40773">
        <w:rPr>
          <w:rFonts w:ascii="Georgia" w:hAnsi="Georgia"/>
          <w:sz w:val="20"/>
          <w:szCs w:val="22"/>
          <w:lang w:val="en-GB"/>
        </w:rPr>
        <w:t>January</w:t>
      </w:r>
      <w:r w:rsidR="00B51B2A">
        <w:rPr>
          <w:rFonts w:ascii="Georgia" w:hAnsi="Georgia"/>
          <w:sz w:val="20"/>
          <w:szCs w:val="22"/>
          <w:lang w:val="en-GB"/>
        </w:rPr>
        <w:t xml:space="preserve"> </w:t>
      </w:r>
      <w:r w:rsidR="00256498">
        <w:rPr>
          <w:rFonts w:ascii="Georgia" w:hAnsi="Georgia"/>
          <w:sz w:val="20"/>
          <w:szCs w:val="22"/>
          <w:lang w:val="en-GB"/>
        </w:rPr>
        <w:t>20</w:t>
      </w:r>
      <w:r w:rsidR="00B37EF2">
        <w:rPr>
          <w:rFonts w:ascii="Georgia" w:hAnsi="Georgia"/>
          <w:sz w:val="20"/>
          <w:szCs w:val="22"/>
          <w:lang w:val="en-GB"/>
        </w:rPr>
        <w:t>2</w:t>
      </w:r>
      <w:r w:rsidR="00C40773">
        <w:rPr>
          <w:rFonts w:ascii="Georgia" w:hAnsi="Georgia"/>
          <w:sz w:val="20"/>
          <w:szCs w:val="22"/>
          <w:lang w:val="en-GB"/>
        </w:rPr>
        <w:t>1</w:t>
      </w:r>
    </w:p>
    <w:p w14:paraId="44CA7BAC" w14:textId="3D3D19CB" w:rsidR="00884A64" w:rsidRPr="00C82363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Cs/>
          <w:sz w:val="20"/>
          <w:szCs w:val="22"/>
          <w:lang w:val="en-DE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proofErr w:type="gramStart"/>
      <w:r w:rsidR="00316F07" w:rsidRPr="00C82363">
        <w:rPr>
          <w:rFonts w:ascii="Georgia" w:hAnsi="Georgia"/>
          <w:bCs/>
          <w:sz w:val="20"/>
          <w:szCs w:val="22"/>
          <w:lang w:val="en-DE"/>
        </w:rPr>
        <w:t>CWSS</w:t>
      </w:r>
      <w:proofErr w:type="gramEnd"/>
    </w:p>
    <w:p w14:paraId="3E89B286" w14:textId="57D788E9" w:rsidR="00C40773" w:rsidRDefault="00C40773" w:rsidP="006607D8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02AC2452" w14:textId="4CBD33C9" w:rsidR="00C40773" w:rsidRDefault="00C40773" w:rsidP="006607D8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selection process of QSR Thematic Reports to be updated during the German presidency considered </w:t>
      </w:r>
      <w:r w:rsidR="00E775EC">
        <w:rPr>
          <w:rFonts w:ascii="Georgia" w:hAnsi="Georgia"/>
          <w:sz w:val="20"/>
          <w:szCs w:val="20"/>
          <w:lang w:val="en-GB"/>
        </w:rPr>
        <w:t>initially only</w:t>
      </w:r>
      <w:r>
        <w:rPr>
          <w:rFonts w:ascii="Georgia" w:hAnsi="Georgia"/>
          <w:sz w:val="20"/>
          <w:szCs w:val="20"/>
          <w:lang w:val="en-GB"/>
        </w:rPr>
        <w:t xml:space="preserve"> the major themes of the </w:t>
      </w:r>
      <w:r>
        <w:rPr>
          <w:rFonts w:ascii="Georgia" w:hAnsi="Georgia"/>
          <w:sz w:val="20"/>
          <w:szCs w:val="20"/>
          <w:lang w:val="en-DE"/>
        </w:rPr>
        <w:t>International Wadden Sea Symposium (ISWSS) 2021</w:t>
      </w:r>
      <w:r>
        <w:rPr>
          <w:rFonts w:ascii="Georgia" w:hAnsi="Georgia"/>
          <w:sz w:val="20"/>
          <w:szCs w:val="20"/>
          <w:lang w:val="en-GB"/>
        </w:rPr>
        <w:t xml:space="preserve"> (postponed to </w:t>
      </w:r>
      <w:r w:rsidRPr="00C40773">
        <w:rPr>
          <w:rFonts w:ascii="Georgia" w:hAnsi="Georgia"/>
          <w:sz w:val="20"/>
          <w:szCs w:val="20"/>
          <w:lang w:val="en-GB"/>
        </w:rPr>
        <w:t>30. November - 03. December</w:t>
      </w:r>
      <w:r>
        <w:rPr>
          <w:rFonts w:ascii="Georgia" w:hAnsi="Georgia"/>
          <w:sz w:val="20"/>
          <w:szCs w:val="20"/>
          <w:lang w:val="en-GB"/>
        </w:rPr>
        <w:t xml:space="preserve">). The parallel development of the Single Integrated </w:t>
      </w:r>
      <w:r w:rsidR="00BF61DE">
        <w:rPr>
          <w:rFonts w:ascii="Georgia" w:hAnsi="Georgia"/>
          <w:sz w:val="20"/>
          <w:szCs w:val="20"/>
          <w:lang w:val="en-GB"/>
        </w:rPr>
        <w:t>M</w:t>
      </w:r>
      <w:r>
        <w:rPr>
          <w:rFonts w:ascii="Georgia" w:hAnsi="Georgia"/>
          <w:sz w:val="20"/>
          <w:szCs w:val="20"/>
          <w:lang w:val="en-GB"/>
        </w:rPr>
        <w:t>anagement Plan (SIMP) re</w:t>
      </w:r>
      <w:r w:rsidR="00BF61DE">
        <w:rPr>
          <w:rFonts w:ascii="Georgia" w:hAnsi="Georgia"/>
          <w:sz w:val="20"/>
          <w:szCs w:val="20"/>
          <w:lang w:val="en-GB"/>
        </w:rPr>
        <w:t>vealed</w:t>
      </w:r>
      <w:r>
        <w:rPr>
          <w:rFonts w:ascii="Georgia" w:hAnsi="Georgia"/>
          <w:sz w:val="20"/>
          <w:szCs w:val="20"/>
          <w:lang w:val="en-GB"/>
        </w:rPr>
        <w:t xml:space="preserve"> that the </w:t>
      </w:r>
      <w:r w:rsidR="00E47882">
        <w:rPr>
          <w:rFonts w:ascii="Georgia" w:hAnsi="Georgia"/>
          <w:sz w:val="20"/>
          <w:szCs w:val="20"/>
          <w:lang w:val="en-GB"/>
        </w:rPr>
        <w:t xml:space="preserve">five </w:t>
      </w:r>
      <w:r>
        <w:rPr>
          <w:rFonts w:ascii="Georgia" w:hAnsi="Georgia"/>
          <w:sz w:val="20"/>
          <w:szCs w:val="20"/>
          <w:lang w:val="en-GB"/>
        </w:rPr>
        <w:t>key topics</w:t>
      </w:r>
      <w:r w:rsidR="00E47882">
        <w:rPr>
          <w:rFonts w:ascii="Georgia" w:hAnsi="Georgia"/>
          <w:sz w:val="20"/>
          <w:szCs w:val="20"/>
          <w:lang w:val="en-GB"/>
        </w:rPr>
        <w:t xml:space="preserve"> (Coastal protection, Energy, Fisheries, Shipping and Tourism</w:t>
      </w:r>
      <w:r>
        <w:rPr>
          <w:rFonts w:ascii="Georgia" w:hAnsi="Georgia"/>
          <w:sz w:val="20"/>
          <w:szCs w:val="20"/>
          <w:lang w:val="en-GB"/>
        </w:rPr>
        <w:t xml:space="preserve"> would </w:t>
      </w:r>
      <w:r w:rsidR="00BF61DE">
        <w:rPr>
          <w:rFonts w:ascii="Georgia" w:hAnsi="Georgia"/>
          <w:sz w:val="20"/>
          <w:szCs w:val="20"/>
          <w:lang w:val="en-GB"/>
        </w:rPr>
        <w:t>require</w:t>
      </w:r>
      <w:r>
        <w:rPr>
          <w:rFonts w:ascii="Georgia" w:hAnsi="Georgia"/>
          <w:sz w:val="20"/>
          <w:szCs w:val="20"/>
          <w:lang w:val="en-GB"/>
        </w:rPr>
        <w:t xml:space="preserve"> up-to-date underlying information such as inventories and corresponding status and trends. CWSS </w:t>
      </w:r>
      <w:r w:rsidR="00E47882">
        <w:rPr>
          <w:rFonts w:ascii="Georgia" w:hAnsi="Georgia"/>
          <w:sz w:val="20"/>
          <w:szCs w:val="20"/>
          <w:lang w:val="en-GB"/>
        </w:rPr>
        <w:t>developed</w:t>
      </w:r>
      <w:r>
        <w:rPr>
          <w:rFonts w:ascii="Georgia" w:hAnsi="Georgia"/>
          <w:sz w:val="20"/>
          <w:szCs w:val="20"/>
          <w:lang w:val="en-GB"/>
        </w:rPr>
        <w:t xml:space="preserve"> an approach to</w:t>
      </w:r>
      <w:r w:rsidR="00E47882">
        <w:rPr>
          <w:rFonts w:ascii="Georgia" w:hAnsi="Georgia"/>
          <w:sz w:val="20"/>
          <w:szCs w:val="20"/>
          <w:lang w:val="en-GB"/>
        </w:rPr>
        <w:t xml:space="preserve"> link the SIMP activities to the production of corresponding QSR Thematic Report </w:t>
      </w:r>
      <w:r w:rsidR="00BF61DE">
        <w:rPr>
          <w:rFonts w:ascii="Georgia" w:hAnsi="Georgia"/>
          <w:sz w:val="20"/>
          <w:szCs w:val="20"/>
          <w:lang w:val="en-GB"/>
        </w:rPr>
        <w:t>u</w:t>
      </w:r>
      <w:r w:rsidR="00E47882">
        <w:rPr>
          <w:rFonts w:ascii="Georgia" w:hAnsi="Georgia"/>
          <w:sz w:val="20"/>
          <w:szCs w:val="20"/>
          <w:lang w:val="en-GB"/>
        </w:rPr>
        <w:t>pdates to streamline the processes and to operate cost</w:t>
      </w:r>
      <w:r w:rsidR="00E775EC">
        <w:rPr>
          <w:rFonts w:ascii="Georgia" w:hAnsi="Georgia"/>
          <w:sz w:val="20"/>
          <w:szCs w:val="20"/>
          <w:lang w:val="en-GB"/>
        </w:rPr>
        <w:t>-</w:t>
      </w:r>
      <w:r w:rsidR="00E47882">
        <w:rPr>
          <w:rFonts w:ascii="Georgia" w:hAnsi="Georgia"/>
          <w:sz w:val="20"/>
          <w:szCs w:val="20"/>
          <w:lang w:val="en-GB"/>
        </w:rPr>
        <w:t xml:space="preserve">effective. This document </w:t>
      </w:r>
      <w:r w:rsidR="00E775EC">
        <w:rPr>
          <w:rFonts w:ascii="Georgia" w:hAnsi="Georgia"/>
          <w:sz w:val="20"/>
          <w:szCs w:val="20"/>
          <w:lang w:val="en-GB"/>
        </w:rPr>
        <w:t xml:space="preserve">is displaying a table providing information on </w:t>
      </w:r>
      <w:r w:rsidR="00E47882">
        <w:rPr>
          <w:rFonts w:ascii="Georgia" w:hAnsi="Georgia"/>
          <w:sz w:val="20"/>
          <w:szCs w:val="20"/>
          <w:lang w:val="en-GB"/>
        </w:rPr>
        <w:t>the</w:t>
      </w:r>
      <w:r w:rsidR="00E775EC">
        <w:rPr>
          <w:rFonts w:ascii="Georgia" w:hAnsi="Georgia"/>
          <w:sz w:val="20"/>
          <w:szCs w:val="20"/>
          <w:lang w:val="en-GB"/>
        </w:rPr>
        <w:t xml:space="preserve"> basic set-up of the reports including existing gaps</w:t>
      </w:r>
      <w:r w:rsidR="00E47882">
        <w:rPr>
          <w:rFonts w:ascii="Georgia" w:hAnsi="Georgia"/>
          <w:sz w:val="20"/>
          <w:szCs w:val="20"/>
          <w:lang w:val="en-GB"/>
        </w:rPr>
        <w:t>.</w:t>
      </w:r>
    </w:p>
    <w:p w14:paraId="519DE080" w14:textId="30BA60FF" w:rsidR="00E47882" w:rsidRDefault="00E47882" w:rsidP="006607D8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7927EFF3" w14:textId="0C2D2AE7" w:rsidR="00E47882" w:rsidRDefault="00E47882" w:rsidP="006607D8">
      <w:pPr>
        <w:spacing w:after="120" w:line="276" w:lineRule="auto"/>
        <w:rPr>
          <w:rFonts w:ascii="Georgia" w:hAnsi="Georgia"/>
          <w:sz w:val="20"/>
          <w:szCs w:val="20"/>
          <w:lang w:val="en-GB"/>
        </w:rPr>
      </w:pPr>
    </w:p>
    <w:p w14:paraId="05AE49F6" w14:textId="35555CE9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Pr="00C133E0">
        <w:rPr>
          <w:rFonts w:ascii="Georgia" w:hAnsi="Georgia"/>
          <w:sz w:val="22"/>
          <w:szCs w:val="22"/>
          <w:lang w:val="en-GB"/>
        </w:rPr>
        <w:t xml:space="preserve">The meeting is invited to </w:t>
      </w:r>
      <w:r>
        <w:rPr>
          <w:rFonts w:ascii="Georgia" w:hAnsi="Georgia"/>
          <w:sz w:val="22"/>
          <w:szCs w:val="22"/>
          <w:lang w:val="en-DE"/>
        </w:rPr>
        <w:t xml:space="preserve">take note of the </w:t>
      </w:r>
      <w:r w:rsidRPr="00E47882">
        <w:rPr>
          <w:rFonts w:ascii="Georgia" w:hAnsi="Georgia"/>
          <w:sz w:val="22"/>
          <w:szCs w:val="22"/>
          <w:lang w:val="en-GB"/>
        </w:rPr>
        <w:t>i</w:t>
      </w:r>
      <w:r>
        <w:rPr>
          <w:rFonts w:ascii="Georgia" w:hAnsi="Georgia"/>
          <w:sz w:val="22"/>
          <w:szCs w:val="22"/>
          <w:lang w:val="en-GB"/>
        </w:rPr>
        <w:t>nformation</w:t>
      </w:r>
      <w:r w:rsidR="00BF61DE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 xml:space="preserve">and to contribute where </w:t>
      </w:r>
      <w:r w:rsidR="00E775EC">
        <w:rPr>
          <w:rFonts w:ascii="Georgia" w:hAnsi="Georgia"/>
          <w:sz w:val="22"/>
          <w:szCs w:val="22"/>
          <w:lang w:val="en-GB"/>
        </w:rPr>
        <w:t>necessary</w:t>
      </w:r>
      <w:r>
        <w:rPr>
          <w:rFonts w:ascii="Georgia" w:hAnsi="Georgia"/>
          <w:sz w:val="22"/>
          <w:szCs w:val="22"/>
          <w:lang w:val="en-GB"/>
        </w:rPr>
        <w:t>.</w:t>
      </w:r>
    </w:p>
    <w:p w14:paraId="6E176A7C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75910126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51BDFE33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74881290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792D7DA8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1BBCDA59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2CB4546A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1D186A05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63DBA002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53932701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3A1C24CD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p w14:paraId="6480685A" w14:textId="77777777" w:rsidR="00E47882" w:rsidRDefault="00E47882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  <w:sectPr w:rsidR="00E47882" w:rsidSect="00E775EC">
          <w:headerReference w:type="first" r:id="rId9"/>
          <w:pgSz w:w="11907" w:h="16840" w:code="9"/>
          <w:pgMar w:top="1440" w:right="1134" w:bottom="1440" w:left="1134" w:header="709" w:footer="709" w:gutter="0"/>
          <w:cols w:space="708"/>
          <w:docGrid w:linePitch="360"/>
        </w:sectPr>
      </w:pPr>
    </w:p>
    <w:p w14:paraId="5A2D6822" w14:textId="3F09BDCF" w:rsidR="007E1F7F" w:rsidRPr="00A4206F" w:rsidRDefault="00A4206F" w:rsidP="00E47882">
      <w:pPr>
        <w:spacing w:after="120" w:line="276" w:lineRule="auto"/>
        <w:ind w:left="1440" w:hanging="1440"/>
        <w:rPr>
          <w:rFonts w:ascii="Arial" w:hAnsi="Arial" w:cs="Arial"/>
          <w:color w:val="0070C0"/>
          <w:sz w:val="28"/>
          <w:szCs w:val="28"/>
          <w:lang w:val="en-GB"/>
        </w:rPr>
      </w:pPr>
      <w:r w:rsidRPr="00A4206F">
        <w:rPr>
          <w:rFonts w:ascii="Arial" w:hAnsi="Arial" w:cs="Arial"/>
          <w:color w:val="0070C0"/>
          <w:sz w:val="28"/>
          <w:szCs w:val="28"/>
          <w:lang w:val="en-GB"/>
        </w:rPr>
        <w:lastRenderedPageBreak/>
        <w:t xml:space="preserve">QSR 2020-22 Thematic Reports </w:t>
      </w:r>
      <w:r w:rsidR="00BF61DE">
        <w:rPr>
          <w:rFonts w:ascii="Arial" w:hAnsi="Arial" w:cs="Arial"/>
          <w:color w:val="0070C0"/>
          <w:sz w:val="28"/>
          <w:szCs w:val="28"/>
          <w:lang w:val="en-GB"/>
        </w:rPr>
        <w:t xml:space="preserve">- </w:t>
      </w:r>
      <w:r w:rsidRPr="00A4206F">
        <w:rPr>
          <w:rFonts w:ascii="Arial" w:hAnsi="Arial" w:cs="Arial"/>
          <w:color w:val="0070C0"/>
          <w:sz w:val="28"/>
          <w:szCs w:val="28"/>
          <w:lang w:val="en-GB"/>
        </w:rPr>
        <w:t>status (19/01/21)</w:t>
      </w:r>
    </w:p>
    <w:p w14:paraId="087A7E61" w14:textId="77777777" w:rsidR="007E1F7F" w:rsidRDefault="007E1F7F" w:rsidP="00E4788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176"/>
        <w:gridCol w:w="1287"/>
        <w:gridCol w:w="1042"/>
        <w:gridCol w:w="1287"/>
        <w:gridCol w:w="2200"/>
        <w:gridCol w:w="3260"/>
        <w:gridCol w:w="700"/>
        <w:gridCol w:w="2028"/>
      </w:tblGrid>
      <w:tr w:rsidR="00B60184" w14:paraId="1170A7FE" w14:textId="77777777" w:rsidTr="00B60184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83D6" w14:textId="77777777" w:rsidR="00B60184" w:rsidRDefault="00B60184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6AE7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THEMATIC REPORT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E08AB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Selection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Criteria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F5F6A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Responsible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@ CWSS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3070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group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involved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04BD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Lead Authors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AE82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B60184" w14:paraId="13A87BB8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B01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AD3E3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9317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BB4A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8F2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531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B5D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492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DK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A390" w14:textId="77777777" w:rsidR="00B60184" w:rsidRDefault="00B6018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60184" w14:paraId="43CFC870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25B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A45F6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Alien Species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AD3B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ISWSS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997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6DA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EG-AS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3A4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F603821" w14:textId="6A88C95A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>Christoph, Sina (BioConsult S-H)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23C1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6DD2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55D51487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E8A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10368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Breeding Birds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C8D5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ISWSS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07C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CE0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EG-BB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3C946F5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>Koffijberg, Kees (SOVON)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6B8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FC9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EBAD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3E5FC98C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039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5B1B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Climate Change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B99A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WG initiative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3BE4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JB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4DC0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EG-C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794ABA3B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9C5700"/>
                <w:sz w:val="18"/>
                <w:szCs w:val="18"/>
              </w:rPr>
              <w:t>Zijlstra</w:t>
            </w:r>
            <w:proofErr w:type="spellEnd"/>
            <w:r>
              <w:rPr>
                <w:rFonts w:ascii="Calibri" w:hAnsi="Calibri" w:cs="Calibri"/>
                <w:color w:val="9C5700"/>
                <w:sz w:val="18"/>
                <w:szCs w:val="18"/>
              </w:rPr>
              <w:t>, Robert (RWS)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076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F6A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B977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563384F8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5FD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F7BB7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Energy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D83F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SIMP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CEA4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JB/SL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6AD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TG-M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787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5232979" w14:textId="1CA1772F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>Christoph, Sina (BioConsult S-H)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239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5615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3AC0D826" w14:textId="77777777" w:rsidTr="00B60184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371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7E542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D917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ISWSS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FF1A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JB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67A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EG-Swimway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034F52E2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9C5700"/>
                <w:sz w:val="18"/>
                <w:szCs w:val="18"/>
              </w:rPr>
              <w:t>Tulp</w:t>
            </w:r>
            <w:proofErr w:type="spellEnd"/>
            <w:r>
              <w:rPr>
                <w:rFonts w:ascii="Calibri" w:hAnsi="Calibri" w:cs="Calibri"/>
                <w:color w:val="9C5700"/>
                <w:sz w:val="18"/>
                <w:szCs w:val="18"/>
              </w:rPr>
              <w:t>, Ingrid (WUR)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152B6552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9C5700"/>
                <w:sz w:val="18"/>
                <w:szCs w:val="18"/>
              </w:rPr>
              <w:t>Vorberg</w:t>
            </w:r>
            <w:proofErr w:type="spellEnd"/>
            <w:r>
              <w:rPr>
                <w:rFonts w:ascii="Calibri" w:hAnsi="Calibri" w:cs="Calibri"/>
                <w:color w:val="9C5700"/>
                <w:sz w:val="18"/>
                <w:szCs w:val="18"/>
              </w:rPr>
              <w:t>, Ralf (Marine Science Service)</w:t>
            </w:r>
            <w:r>
              <w:rPr>
                <w:rFonts w:ascii="Calibri" w:hAnsi="Calibri" w:cs="Calibri"/>
                <w:color w:val="9C57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9C5700"/>
                <w:sz w:val="18"/>
                <w:szCs w:val="18"/>
              </w:rPr>
              <w:t>Dänhardt</w:t>
            </w:r>
            <w:proofErr w:type="spellEnd"/>
            <w:r>
              <w:rPr>
                <w:rFonts w:ascii="Calibri" w:hAnsi="Calibri" w:cs="Calibri"/>
                <w:color w:val="9C5700"/>
                <w:sz w:val="18"/>
                <w:szCs w:val="18"/>
              </w:rPr>
              <w:t>, Andreas (Consultant)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DA1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94D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08B2DEE9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F8EF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A951B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Fisheries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7140F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SIMP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968D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JB/SL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DB7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TG-M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010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CFA8729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Fock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Heino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Thünen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 Institute)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D2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C1A1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0513CAAB" w14:textId="77777777" w:rsidTr="00B60184">
        <w:trPr>
          <w:trHeight w:val="73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4492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6A29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Hazardous Substances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678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Pending report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A96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139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TG-MA?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EDF5B25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9B86034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14F627D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226B4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Study on data status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commissioned - report further delayed</w:t>
            </w:r>
          </w:p>
        </w:tc>
      </w:tr>
      <w:tr w:rsidR="00B60184" w14:paraId="280FC1CB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E96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70BB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Marine Mammals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B9E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ISWSS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AE7FF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tbd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3C1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EG-Seals (MM)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7E3650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  <w:r>
              <w:rPr>
                <w:rFonts w:ascii="Calibri" w:hAnsi="Calibri" w:cs="Calibri"/>
                <w:color w:val="9C5700"/>
                <w:sz w:val="18"/>
                <w:szCs w:val="18"/>
              </w:rPr>
              <w:t>Brasseur, Sophie (WUR)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7701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FF9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  <w:r>
              <w:rPr>
                <w:rFonts w:ascii="Calibri" w:hAnsi="Calibri" w:cs="Calibri"/>
                <w:color w:val="9C57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1762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DK author declined</w:t>
            </w:r>
          </w:p>
        </w:tc>
      </w:tr>
      <w:tr w:rsidR="00B60184" w14:paraId="07403DBA" w14:textId="77777777" w:rsidTr="00B60184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3E9E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243D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Migratory Birds (Flyway?)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2747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ISWSS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B706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7B2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EG-MB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DF4F913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Kleefstra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Romke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61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Natuurmuseum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Fyslân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DB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FC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3904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72B0D946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1EE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DB7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Shipping and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Harbours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B370F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SIMP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FC75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JB/SL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5B0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TG-M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AD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61B28BC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Bahlke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>, Christian (AINS)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F90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43ED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016D061A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4E24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6A5B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Sublitoral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Habitats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1680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ISWSS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06A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8C2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TG-MA?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9E5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5FC53DA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6100"/>
                <w:sz w:val="18"/>
                <w:szCs w:val="18"/>
              </w:rPr>
              <w:t>Ricklefs</w:t>
            </w:r>
            <w:proofErr w:type="spellEnd"/>
            <w:r>
              <w:rPr>
                <w:rFonts w:ascii="Calibri" w:hAnsi="Calibri" w:cs="Calibri"/>
                <w:color w:val="006100"/>
                <w:sz w:val="18"/>
                <w:szCs w:val="18"/>
              </w:rPr>
              <w:t>, Klaus (University of Kiel)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DF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46394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50FABA10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50C" w14:textId="77777777" w:rsidR="00B60184" w:rsidRDefault="00B601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40A3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Tourism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AC5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SIMP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756D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AD/SL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A5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NG-T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3DD1D9D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4C5E2FA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6A193F1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7FF5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60184" w14:paraId="7212F203" w14:textId="77777777" w:rsidTr="00B60184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CC68" w14:textId="77777777" w:rsidR="00B60184" w:rsidRDefault="00B60184">
            <w:pPr>
              <w:jc w:val="right"/>
              <w:rPr>
                <w:rFonts w:ascii="Calibri" w:hAnsi="Calibri" w:cs="Calibri"/>
                <w:i/>
                <w:iCs/>
                <w:color w:val="A6A6A6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</w:rPr>
              <w:t>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8E65" w14:textId="77777777" w:rsidR="00B60184" w:rsidRDefault="00B60184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Salt Marshes and Dunes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7FA6" w14:textId="5FE762E0" w:rsidR="00B60184" w:rsidRDefault="00B60184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 xml:space="preserve">WG </w:t>
            </w:r>
            <w:r w:rsidR="00C20677"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initiative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DDAB" w14:textId="77777777" w:rsidR="00B60184" w:rsidRDefault="00B60184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KM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C534" w14:textId="77777777" w:rsidR="00B60184" w:rsidRDefault="00B60184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529" w14:textId="23C9E292" w:rsidR="00B60184" w:rsidRDefault="00B60184">
            <w:pP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</w:rPr>
              <w:t>Esselink</w:t>
            </w:r>
            <w:proofErr w:type="spellEnd"/>
            <w: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</w:rPr>
              <w:t xml:space="preserve">, Peter </w:t>
            </w:r>
            <w: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</w:rPr>
              <w:br/>
              <w:t>(PUCCIMAR)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6BE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07C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BB09A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implementation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depending on finances</w:t>
            </w:r>
          </w:p>
        </w:tc>
      </w:tr>
      <w:tr w:rsidR="00B60184" w14:paraId="3B86A465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56C6" w14:textId="77777777" w:rsidR="00B60184" w:rsidRDefault="00B6018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C32C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2F47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646D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74D3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B60A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9358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E86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48F33" w14:textId="77777777" w:rsidR="00B60184" w:rsidRDefault="00B60184">
            <w:pPr>
              <w:rPr>
                <w:sz w:val="20"/>
                <w:szCs w:val="20"/>
              </w:rPr>
            </w:pPr>
          </w:p>
        </w:tc>
      </w:tr>
      <w:tr w:rsidR="00B60184" w14:paraId="1C123378" w14:textId="77777777" w:rsidTr="00B60184">
        <w:trPr>
          <w:trHeight w:val="4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CC0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1887A539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 xml:space="preserve">Coastal Protection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26DA3C86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SIMP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  <w:hideMark/>
          </w:tcPr>
          <w:p w14:paraId="1D5098BA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JB/SL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7FFEC51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EG-C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019A39C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9C0006"/>
                <w:sz w:val="18"/>
                <w:szCs w:val="18"/>
              </w:rPr>
              <w:t>Zijlstra</w:t>
            </w:r>
            <w:proofErr w:type="spellEnd"/>
            <w:r>
              <w:rPr>
                <w:rFonts w:ascii="Calibri" w:hAnsi="Calibri" w:cs="Calibri"/>
                <w:color w:val="9C0006"/>
                <w:sz w:val="18"/>
                <w:szCs w:val="18"/>
              </w:rPr>
              <w:t>, Robert (RWS)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2A67CC1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80CACF0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  <w:hideMark/>
          </w:tcPr>
          <w:p w14:paraId="49534F33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Cancelled after author</w:t>
            </w:r>
            <w:r>
              <w:rPr>
                <w:rFonts w:ascii="Calibri" w:hAnsi="Calibri" w:cs="Calibri"/>
                <w:color w:val="9C0006"/>
                <w:sz w:val="18"/>
                <w:szCs w:val="18"/>
              </w:rPr>
              <w:br/>
              <w:t>assessment</w:t>
            </w:r>
          </w:p>
        </w:tc>
      </w:tr>
      <w:tr w:rsidR="00B60184" w14:paraId="3A044C97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134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A9F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81E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46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3E8F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BCEE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D26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3113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2EC" w14:textId="77777777" w:rsidR="00B60184" w:rsidRDefault="00B60184">
            <w:pPr>
              <w:rPr>
                <w:sz w:val="20"/>
                <w:szCs w:val="20"/>
              </w:rPr>
            </w:pPr>
          </w:p>
        </w:tc>
      </w:tr>
      <w:tr w:rsidR="00B60184" w14:paraId="3964D508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310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E39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6948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A7F4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958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364F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3729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E28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B56" w14:textId="77777777" w:rsidR="00B60184" w:rsidRDefault="00B60184">
            <w:pPr>
              <w:rPr>
                <w:sz w:val="20"/>
                <w:szCs w:val="20"/>
              </w:rPr>
            </w:pPr>
          </w:p>
        </w:tc>
      </w:tr>
      <w:tr w:rsidR="00B60184" w14:paraId="0C598268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783C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77F3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A3AE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3489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3C05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214353E6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  <w:r>
              <w:rPr>
                <w:rFonts w:ascii="Calibri" w:hAnsi="Calibri" w:cs="Calibri"/>
                <w:color w:val="006100"/>
                <w:sz w:val="18"/>
                <w:szCs w:val="18"/>
              </w:rPr>
              <w:t>confirmed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6E5B" w14:textId="77777777" w:rsidR="00B60184" w:rsidRDefault="00B60184">
            <w:pPr>
              <w:rPr>
                <w:rFonts w:ascii="Calibri" w:hAnsi="Calibri" w:cs="Calibri"/>
                <w:color w:val="0061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5DB1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7D3" w14:textId="77777777" w:rsidR="00B60184" w:rsidRDefault="00B60184">
            <w:pPr>
              <w:rPr>
                <w:sz w:val="20"/>
                <w:szCs w:val="20"/>
              </w:rPr>
            </w:pPr>
          </w:p>
        </w:tc>
      </w:tr>
      <w:tr w:rsidR="00B60184" w14:paraId="6EC333E4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0B5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10B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56A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B512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4AE8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1243782E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  <w:r>
              <w:rPr>
                <w:rFonts w:ascii="Calibri" w:hAnsi="Calibri" w:cs="Calibri"/>
                <w:color w:val="9C5700"/>
                <w:sz w:val="18"/>
                <w:szCs w:val="18"/>
              </w:rPr>
              <w:t>to be confirmed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44A4" w14:textId="77777777" w:rsidR="00B60184" w:rsidRDefault="00B60184">
            <w:pPr>
              <w:rPr>
                <w:rFonts w:ascii="Calibri" w:hAnsi="Calibri" w:cs="Calibri"/>
                <w:color w:val="9C57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FCF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BEB7" w14:textId="77777777" w:rsidR="00B60184" w:rsidRDefault="00B60184">
            <w:pPr>
              <w:rPr>
                <w:sz w:val="20"/>
                <w:szCs w:val="20"/>
              </w:rPr>
            </w:pPr>
          </w:p>
        </w:tc>
      </w:tr>
      <w:tr w:rsidR="00B60184" w14:paraId="0C08EA41" w14:textId="77777777" w:rsidTr="00B60184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19F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2AE7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A71A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95B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A16B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D1569E6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  <w:r>
              <w:rPr>
                <w:rFonts w:ascii="Calibri" w:hAnsi="Calibri" w:cs="Calibri"/>
                <w:color w:val="9C0006"/>
                <w:sz w:val="18"/>
                <w:szCs w:val="18"/>
              </w:rPr>
              <w:t>author selection pending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933" w14:textId="77777777" w:rsidR="00B60184" w:rsidRDefault="00B60184">
            <w:pPr>
              <w:rPr>
                <w:rFonts w:ascii="Calibri" w:hAnsi="Calibri" w:cs="Calibri"/>
                <w:color w:val="9C0006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520D" w14:textId="77777777" w:rsidR="00B60184" w:rsidRDefault="00B6018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A579" w14:textId="77777777" w:rsidR="00B60184" w:rsidRDefault="00B60184">
            <w:pPr>
              <w:rPr>
                <w:sz w:val="20"/>
                <w:szCs w:val="20"/>
              </w:rPr>
            </w:pPr>
          </w:p>
        </w:tc>
      </w:tr>
    </w:tbl>
    <w:p w14:paraId="3E7DA724" w14:textId="3CF91A1E" w:rsidR="00003B23" w:rsidRPr="00E344F2" w:rsidRDefault="00E47882" w:rsidP="00E344F2">
      <w:pPr>
        <w:spacing w:after="120" w:line="276" w:lineRule="auto"/>
        <w:ind w:left="1440" w:hanging="1440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 </w:t>
      </w:r>
    </w:p>
    <w:sectPr w:rsidR="00003B23" w:rsidRPr="00E344F2" w:rsidSect="00E47882">
      <w:pgSz w:w="16840" w:h="11907" w:orient="landscape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8A5C" w14:textId="77777777" w:rsidR="00BD2875" w:rsidRDefault="00BD2875">
      <w:r>
        <w:separator/>
      </w:r>
    </w:p>
  </w:endnote>
  <w:endnote w:type="continuationSeparator" w:id="0">
    <w:p w14:paraId="435F49AA" w14:textId="77777777" w:rsidR="00BD2875" w:rsidRDefault="00B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85EF7" w14:textId="77777777" w:rsidR="00BD2875" w:rsidRDefault="00BD2875">
      <w:r>
        <w:separator/>
      </w:r>
    </w:p>
  </w:footnote>
  <w:footnote w:type="continuationSeparator" w:id="0">
    <w:p w14:paraId="76FAABA6" w14:textId="77777777" w:rsidR="00BD2875" w:rsidRDefault="00BD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55AE" w14:textId="3985C7F5" w:rsidR="00E775EC" w:rsidRPr="00DB3E3C" w:rsidRDefault="00E775EC" w:rsidP="00E775EC">
    <w:pPr>
      <w:tabs>
        <w:tab w:val="left" w:pos="2160"/>
      </w:tabs>
      <w:spacing w:after="200" w:line="276" w:lineRule="auto"/>
      <w:rPr>
        <w:rFonts w:ascii="Arial" w:hAnsi="Arial" w:cs="Arial"/>
        <w:sz w:val="16"/>
        <w:szCs w:val="16"/>
        <w:lang w:val="en-GB"/>
      </w:rPr>
    </w:pPr>
    <w:r w:rsidRPr="00DB3E3C">
      <w:rPr>
        <w:rFonts w:ascii="Arial" w:hAnsi="Arial" w:cs="Arial"/>
        <w:bCs/>
        <w:sz w:val="16"/>
        <w:szCs w:val="16"/>
        <w:lang w:val="en-GB"/>
      </w:rPr>
      <w:t>TG-MA</w:t>
    </w:r>
    <w:r w:rsidRPr="00DB3E3C">
      <w:rPr>
        <w:rFonts w:ascii="Arial" w:hAnsi="Arial" w:cs="Arial"/>
        <w:sz w:val="16"/>
        <w:szCs w:val="16"/>
        <w:lang w:val="en-GB"/>
      </w:rPr>
      <w:t xml:space="preserve"> 21/1/5.</w:t>
    </w:r>
    <w:r w:rsidRPr="00DB3E3C">
      <w:rPr>
        <w:rFonts w:ascii="Arial" w:hAnsi="Arial" w:cs="Arial"/>
        <w:sz w:val="16"/>
        <w:szCs w:val="16"/>
        <w:lang w:val="en-DE"/>
      </w:rPr>
      <w:t>1</w:t>
    </w:r>
    <w:r w:rsidRPr="00DB3E3C">
      <w:rPr>
        <w:rFonts w:ascii="Arial" w:hAnsi="Arial" w:cs="Arial"/>
        <w:sz w:val="16"/>
        <w:szCs w:val="16"/>
        <w:lang w:val="en-GB"/>
      </w:rPr>
      <w:t xml:space="preserve"> – </w:t>
    </w:r>
    <w:r w:rsidRPr="00DB3E3C">
      <w:rPr>
        <w:rFonts w:ascii="Arial" w:hAnsi="Arial" w:cs="Arial"/>
        <w:bCs/>
        <w:sz w:val="16"/>
        <w:szCs w:val="16"/>
        <w:lang w:val="en-GB"/>
      </w:rPr>
      <w:t>Set-up of</w:t>
    </w:r>
    <w:r w:rsidRPr="00DB3E3C">
      <w:rPr>
        <w:rFonts w:ascii="Arial" w:hAnsi="Arial" w:cs="Arial"/>
        <w:b/>
        <w:sz w:val="16"/>
        <w:szCs w:val="16"/>
        <w:lang w:val="en-GB"/>
      </w:rPr>
      <w:t xml:space="preserve"> </w:t>
    </w:r>
    <w:r w:rsidRPr="00DB3E3C">
      <w:rPr>
        <w:rFonts w:ascii="Arial" w:hAnsi="Arial" w:cs="Arial"/>
        <w:bCs/>
        <w:sz w:val="16"/>
        <w:szCs w:val="16"/>
        <w:lang w:val="en-DE"/>
      </w:rPr>
      <w:t>QSR Thematic Reports 202</w:t>
    </w:r>
    <w:r w:rsidR="00E136E0" w:rsidRPr="00DB3E3C">
      <w:rPr>
        <w:rFonts w:ascii="Arial" w:hAnsi="Arial" w:cs="Arial"/>
        <w:bCs/>
        <w:sz w:val="16"/>
        <w:szCs w:val="16"/>
        <w:lang w:val="en-GB"/>
      </w:rPr>
      <w:t>0-22</w:t>
    </w:r>
  </w:p>
  <w:p w14:paraId="778643E9" w14:textId="7C32D6F7" w:rsidR="00E775EC" w:rsidRPr="00E775EC" w:rsidRDefault="00E775EC">
    <w:pPr>
      <w:pStyle w:val="Header"/>
      <w:rPr>
        <w:lang w:val="en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1D0"/>
    <w:multiLevelType w:val="hybridMultilevel"/>
    <w:tmpl w:val="5134B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1629"/>
    <w:multiLevelType w:val="hybridMultilevel"/>
    <w:tmpl w:val="ACA8215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781"/>
    <w:multiLevelType w:val="hybridMultilevel"/>
    <w:tmpl w:val="46A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8034F"/>
    <w:multiLevelType w:val="hybridMultilevel"/>
    <w:tmpl w:val="39D8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B40F7"/>
    <w:multiLevelType w:val="hybridMultilevel"/>
    <w:tmpl w:val="0604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01A2"/>
    <w:multiLevelType w:val="hybridMultilevel"/>
    <w:tmpl w:val="C8E6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3D14"/>
    <w:multiLevelType w:val="hybridMultilevel"/>
    <w:tmpl w:val="EBA8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5186F80"/>
    <w:multiLevelType w:val="hybridMultilevel"/>
    <w:tmpl w:val="4AC277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D1B4205"/>
    <w:multiLevelType w:val="hybridMultilevel"/>
    <w:tmpl w:val="DD3CC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886054"/>
    <w:multiLevelType w:val="multilevel"/>
    <w:tmpl w:val="C0089F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B95818"/>
    <w:multiLevelType w:val="hybridMultilevel"/>
    <w:tmpl w:val="E9D05C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152D"/>
    <w:multiLevelType w:val="hybridMultilevel"/>
    <w:tmpl w:val="3AA6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1666C"/>
    <w:multiLevelType w:val="hybridMultilevel"/>
    <w:tmpl w:val="9502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1"/>
  </w:num>
  <w:num w:numId="5">
    <w:abstractNumId w:val="26"/>
  </w:num>
  <w:num w:numId="6">
    <w:abstractNumId w:val="2"/>
  </w:num>
  <w:num w:numId="7">
    <w:abstractNumId w:val="23"/>
  </w:num>
  <w:num w:numId="8">
    <w:abstractNumId w:val="25"/>
  </w:num>
  <w:num w:numId="9">
    <w:abstractNumId w:val="15"/>
  </w:num>
  <w:num w:numId="10">
    <w:abstractNumId w:val="14"/>
  </w:num>
  <w:num w:numId="11">
    <w:abstractNumId w:val="27"/>
  </w:num>
  <w:num w:numId="12">
    <w:abstractNumId w:val="10"/>
  </w:num>
  <w:num w:numId="13">
    <w:abstractNumId w:val="29"/>
  </w:num>
  <w:num w:numId="14">
    <w:abstractNumId w:val="3"/>
  </w:num>
  <w:num w:numId="15">
    <w:abstractNumId w:val="20"/>
  </w:num>
  <w:num w:numId="16">
    <w:abstractNumId w:val="28"/>
  </w:num>
  <w:num w:numId="17">
    <w:abstractNumId w:val="7"/>
  </w:num>
  <w:num w:numId="18">
    <w:abstractNumId w:val="17"/>
  </w:num>
  <w:num w:numId="19">
    <w:abstractNumId w:val="21"/>
  </w:num>
  <w:num w:numId="20">
    <w:abstractNumId w:val="12"/>
  </w:num>
  <w:num w:numId="21">
    <w:abstractNumId w:val="8"/>
  </w:num>
  <w:num w:numId="22">
    <w:abstractNumId w:val="4"/>
  </w:num>
  <w:num w:numId="23">
    <w:abstractNumId w:val="16"/>
  </w:num>
  <w:num w:numId="24">
    <w:abstractNumId w:val="1"/>
  </w:num>
  <w:num w:numId="25">
    <w:abstractNumId w:val="24"/>
  </w:num>
  <w:num w:numId="26">
    <w:abstractNumId w:val="22"/>
  </w:num>
  <w:num w:numId="27">
    <w:abstractNumId w:val="9"/>
  </w:num>
  <w:num w:numId="28">
    <w:abstractNumId w:val="6"/>
  </w:num>
  <w:num w:numId="29">
    <w:abstractNumId w:val="13"/>
  </w:num>
  <w:num w:numId="30">
    <w:abstractNumId w:val="0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7086b846-51c2-472a-b293-efb10e75b211"/>
    <w:docVar w:name="LW_DocType" w:val="70FC0A9"/>
  </w:docVars>
  <w:rsids>
    <w:rsidRoot w:val="00E65956"/>
    <w:rsid w:val="00003B23"/>
    <w:rsid w:val="00004EE5"/>
    <w:rsid w:val="00007DD7"/>
    <w:rsid w:val="000135D9"/>
    <w:rsid w:val="00014ADE"/>
    <w:rsid w:val="0002233C"/>
    <w:rsid w:val="00044B5D"/>
    <w:rsid w:val="00044B96"/>
    <w:rsid w:val="00051122"/>
    <w:rsid w:val="00061A9E"/>
    <w:rsid w:val="00063107"/>
    <w:rsid w:val="00066FC4"/>
    <w:rsid w:val="000701AF"/>
    <w:rsid w:val="00075502"/>
    <w:rsid w:val="00076BAD"/>
    <w:rsid w:val="00084004"/>
    <w:rsid w:val="000A0E5F"/>
    <w:rsid w:val="000B051E"/>
    <w:rsid w:val="000B62EE"/>
    <w:rsid w:val="000C379B"/>
    <w:rsid w:val="000D1CD5"/>
    <w:rsid w:val="000D4AA1"/>
    <w:rsid w:val="000E250B"/>
    <w:rsid w:val="000E286C"/>
    <w:rsid w:val="000E41EE"/>
    <w:rsid w:val="000E7117"/>
    <w:rsid w:val="000F0E64"/>
    <w:rsid w:val="000F37B1"/>
    <w:rsid w:val="00101841"/>
    <w:rsid w:val="00146240"/>
    <w:rsid w:val="00147A4E"/>
    <w:rsid w:val="0017526A"/>
    <w:rsid w:val="001760DD"/>
    <w:rsid w:val="00193121"/>
    <w:rsid w:val="001B785E"/>
    <w:rsid w:val="001C042F"/>
    <w:rsid w:val="001C43D3"/>
    <w:rsid w:val="002054A8"/>
    <w:rsid w:val="002108D8"/>
    <w:rsid w:val="00212819"/>
    <w:rsid w:val="002160AA"/>
    <w:rsid w:val="00224997"/>
    <w:rsid w:val="00227E91"/>
    <w:rsid w:val="00241433"/>
    <w:rsid w:val="00242A26"/>
    <w:rsid w:val="00252FED"/>
    <w:rsid w:val="00254860"/>
    <w:rsid w:val="00256493"/>
    <w:rsid w:val="00256498"/>
    <w:rsid w:val="002A6524"/>
    <w:rsid w:val="002C3B3E"/>
    <w:rsid w:val="002C42A0"/>
    <w:rsid w:val="002C573F"/>
    <w:rsid w:val="002D7C58"/>
    <w:rsid w:val="002D7DF5"/>
    <w:rsid w:val="002F1E43"/>
    <w:rsid w:val="002F3C26"/>
    <w:rsid w:val="003148C6"/>
    <w:rsid w:val="00316F07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03BC"/>
    <w:rsid w:val="003724FF"/>
    <w:rsid w:val="00375097"/>
    <w:rsid w:val="003951D7"/>
    <w:rsid w:val="003A4E03"/>
    <w:rsid w:val="003A5424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1392A"/>
    <w:rsid w:val="0041642B"/>
    <w:rsid w:val="004634D9"/>
    <w:rsid w:val="00464803"/>
    <w:rsid w:val="0047073F"/>
    <w:rsid w:val="00473646"/>
    <w:rsid w:val="0048039B"/>
    <w:rsid w:val="004811CF"/>
    <w:rsid w:val="0049559C"/>
    <w:rsid w:val="00495F8E"/>
    <w:rsid w:val="004B18F8"/>
    <w:rsid w:val="004D3891"/>
    <w:rsid w:val="004F4C18"/>
    <w:rsid w:val="004F7255"/>
    <w:rsid w:val="0052327A"/>
    <w:rsid w:val="00523334"/>
    <w:rsid w:val="005342F7"/>
    <w:rsid w:val="005507A2"/>
    <w:rsid w:val="0055335E"/>
    <w:rsid w:val="00566883"/>
    <w:rsid w:val="00576FC0"/>
    <w:rsid w:val="00583932"/>
    <w:rsid w:val="005915E0"/>
    <w:rsid w:val="0059757A"/>
    <w:rsid w:val="005A17D3"/>
    <w:rsid w:val="005A7B7A"/>
    <w:rsid w:val="005B1554"/>
    <w:rsid w:val="005C366D"/>
    <w:rsid w:val="005C4D1E"/>
    <w:rsid w:val="005F18A8"/>
    <w:rsid w:val="005F2743"/>
    <w:rsid w:val="005F586A"/>
    <w:rsid w:val="00605BCB"/>
    <w:rsid w:val="00615200"/>
    <w:rsid w:val="006264FF"/>
    <w:rsid w:val="0063184F"/>
    <w:rsid w:val="00634461"/>
    <w:rsid w:val="006363AB"/>
    <w:rsid w:val="006444C3"/>
    <w:rsid w:val="00646DAB"/>
    <w:rsid w:val="00650ABF"/>
    <w:rsid w:val="006607D8"/>
    <w:rsid w:val="00682659"/>
    <w:rsid w:val="0068736A"/>
    <w:rsid w:val="00697EC8"/>
    <w:rsid w:val="006A0819"/>
    <w:rsid w:val="006A5CCD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240E0"/>
    <w:rsid w:val="00724801"/>
    <w:rsid w:val="0072516E"/>
    <w:rsid w:val="00754D75"/>
    <w:rsid w:val="007563CD"/>
    <w:rsid w:val="00761403"/>
    <w:rsid w:val="00777E1D"/>
    <w:rsid w:val="00781556"/>
    <w:rsid w:val="0078654F"/>
    <w:rsid w:val="00792AB7"/>
    <w:rsid w:val="007976A5"/>
    <w:rsid w:val="007A0319"/>
    <w:rsid w:val="007B729F"/>
    <w:rsid w:val="007B73FA"/>
    <w:rsid w:val="007C501F"/>
    <w:rsid w:val="007C7BD3"/>
    <w:rsid w:val="007D5514"/>
    <w:rsid w:val="007E1F7F"/>
    <w:rsid w:val="007E2E72"/>
    <w:rsid w:val="00805589"/>
    <w:rsid w:val="00816E0E"/>
    <w:rsid w:val="008220BC"/>
    <w:rsid w:val="008236A8"/>
    <w:rsid w:val="00824914"/>
    <w:rsid w:val="00840BD4"/>
    <w:rsid w:val="00844E81"/>
    <w:rsid w:val="00852AA8"/>
    <w:rsid w:val="00853159"/>
    <w:rsid w:val="00855425"/>
    <w:rsid w:val="00884A64"/>
    <w:rsid w:val="0089202D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11BD5"/>
    <w:rsid w:val="009128C7"/>
    <w:rsid w:val="00915B06"/>
    <w:rsid w:val="00925EF4"/>
    <w:rsid w:val="00935C7D"/>
    <w:rsid w:val="0094113A"/>
    <w:rsid w:val="00950873"/>
    <w:rsid w:val="009517FA"/>
    <w:rsid w:val="00953FAF"/>
    <w:rsid w:val="00965C3E"/>
    <w:rsid w:val="009719CA"/>
    <w:rsid w:val="00973022"/>
    <w:rsid w:val="00975C6B"/>
    <w:rsid w:val="00982C8B"/>
    <w:rsid w:val="009A2079"/>
    <w:rsid w:val="009B54B3"/>
    <w:rsid w:val="009C58D4"/>
    <w:rsid w:val="009D01E2"/>
    <w:rsid w:val="009D105B"/>
    <w:rsid w:val="009D6A3D"/>
    <w:rsid w:val="009E6684"/>
    <w:rsid w:val="009E7C2C"/>
    <w:rsid w:val="009F034D"/>
    <w:rsid w:val="009F2E7E"/>
    <w:rsid w:val="009F331C"/>
    <w:rsid w:val="00A1036A"/>
    <w:rsid w:val="00A12765"/>
    <w:rsid w:val="00A13D27"/>
    <w:rsid w:val="00A20BC6"/>
    <w:rsid w:val="00A3633D"/>
    <w:rsid w:val="00A4206F"/>
    <w:rsid w:val="00A47D81"/>
    <w:rsid w:val="00A55A4E"/>
    <w:rsid w:val="00A64051"/>
    <w:rsid w:val="00A80F47"/>
    <w:rsid w:val="00A8235D"/>
    <w:rsid w:val="00A86C28"/>
    <w:rsid w:val="00A875C8"/>
    <w:rsid w:val="00A915FB"/>
    <w:rsid w:val="00AA21E7"/>
    <w:rsid w:val="00AA4D8F"/>
    <w:rsid w:val="00AC1F71"/>
    <w:rsid w:val="00AC2926"/>
    <w:rsid w:val="00AD3DDC"/>
    <w:rsid w:val="00AE651C"/>
    <w:rsid w:val="00AF263A"/>
    <w:rsid w:val="00B0219C"/>
    <w:rsid w:val="00B07A4C"/>
    <w:rsid w:val="00B1013D"/>
    <w:rsid w:val="00B1024D"/>
    <w:rsid w:val="00B15106"/>
    <w:rsid w:val="00B37EF2"/>
    <w:rsid w:val="00B443A4"/>
    <w:rsid w:val="00B45E4C"/>
    <w:rsid w:val="00B51B2A"/>
    <w:rsid w:val="00B60184"/>
    <w:rsid w:val="00B61315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2875"/>
    <w:rsid w:val="00BD4531"/>
    <w:rsid w:val="00BE32BA"/>
    <w:rsid w:val="00BE4BF3"/>
    <w:rsid w:val="00BF61DE"/>
    <w:rsid w:val="00C066DF"/>
    <w:rsid w:val="00C133E0"/>
    <w:rsid w:val="00C15340"/>
    <w:rsid w:val="00C20677"/>
    <w:rsid w:val="00C23468"/>
    <w:rsid w:val="00C25297"/>
    <w:rsid w:val="00C40773"/>
    <w:rsid w:val="00C6067C"/>
    <w:rsid w:val="00C62F33"/>
    <w:rsid w:val="00C66240"/>
    <w:rsid w:val="00C81A36"/>
    <w:rsid w:val="00C82363"/>
    <w:rsid w:val="00C84D96"/>
    <w:rsid w:val="00C914D0"/>
    <w:rsid w:val="00C917B4"/>
    <w:rsid w:val="00C92F48"/>
    <w:rsid w:val="00C94373"/>
    <w:rsid w:val="00C9446B"/>
    <w:rsid w:val="00C94DAD"/>
    <w:rsid w:val="00C94E92"/>
    <w:rsid w:val="00C96C7B"/>
    <w:rsid w:val="00CA3FEC"/>
    <w:rsid w:val="00CA4F12"/>
    <w:rsid w:val="00CB0F49"/>
    <w:rsid w:val="00CC45ED"/>
    <w:rsid w:val="00CD0E99"/>
    <w:rsid w:val="00CE4943"/>
    <w:rsid w:val="00D02CC2"/>
    <w:rsid w:val="00D045F6"/>
    <w:rsid w:val="00D04A2E"/>
    <w:rsid w:val="00D05B14"/>
    <w:rsid w:val="00D06D60"/>
    <w:rsid w:val="00D10487"/>
    <w:rsid w:val="00D37A59"/>
    <w:rsid w:val="00D37B01"/>
    <w:rsid w:val="00D541BC"/>
    <w:rsid w:val="00D714D5"/>
    <w:rsid w:val="00D71C4A"/>
    <w:rsid w:val="00D77486"/>
    <w:rsid w:val="00D82250"/>
    <w:rsid w:val="00D90053"/>
    <w:rsid w:val="00D96CA2"/>
    <w:rsid w:val="00D975A2"/>
    <w:rsid w:val="00DA566F"/>
    <w:rsid w:val="00DB3E3C"/>
    <w:rsid w:val="00DC3627"/>
    <w:rsid w:val="00DC549B"/>
    <w:rsid w:val="00DC5EAB"/>
    <w:rsid w:val="00DC6C5D"/>
    <w:rsid w:val="00DE4522"/>
    <w:rsid w:val="00DF2A2C"/>
    <w:rsid w:val="00E00EBB"/>
    <w:rsid w:val="00E01D3F"/>
    <w:rsid w:val="00E05DFD"/>
    <w:rsid w:val="00E136E0"/>
    <w:rsid w:val="00E20D83"/>
    <w:rsid w:val="00E344F2"/>
    <w:rsid w:val="00E41AA1"/>
    <w:rsid w:val="00E420E7"/>
    <w:rsid w:val="00E431DE"/>
    <w:rsid w:val="00E47882"/>
    <w:rsid w:val="00E479CC"/>
    <w:rsid w:val="00E51BD5"/>
    <w:rsid w:val="00E51DED"/>
    <w:rsid w:val="00E55CC2"/>
    <w:rsid w:val="00E60B90"/>
    <w:rsid w:val="00E629D8"/>
    <w:rsid w:val="00E65956"/>
    <w:rsid w:val="00E667AE"/>
    <w:rsid w:val="00E7261B"/>
    <w:rsid w:val="00E775EC"/>
    <w:rsid w:val="00E8189E"/>
    <w:rsid w:val="00E84286"/>
    <w:rsid w:val="00E85374"/>
    <w:rsid w:val="00E8632A"/>
    <w:rsid w:val="00E904DF"/>
    <w:rsid w:val="00E90F73"/>
    <w:rsid w:val="00E92147"/>
    <w:rsid w:val="00E95582"/>
    <w:rsid w:val="00E96D7C"/>
    <w:rsid w:val="00EA22E5"/>
    <w:rsid w:val="00EB608B"/>
    <w:rsid w:val="00EB61DD"/>
    <w:rsid w:val="00EC0802"/>
    <w:rsid w:val="00EC0CDB"/>
    <w:rsid w:val="00EC3E5B"/>
    <w:rsid w:val="00EC431E"/>
    <w:rsid w:val="00EC5696"/>
    <w:rsid w:val="00EC66A6"/>
    <w:rsid w:val="00EE23C0"/>
    <w:rsid w:val="00EE25B5"/>
    <w:rsid w:val="00EF1778"/>
    <w:rsid w:val="00F05116"/>
    <w:rsid w:val="00F42163"/>
    <w:rsid w:val="00F52682"/>
    <w:rsid w:val="00F62E2B"/>
    <w:rsid w:val="00F65B7E"/>
    <w:rsid w:val="00F73795"/>
    <w:rsid w:val="00F77F84"/>
    <w:rsid w:val="00F872A7"/>
    <w:rsid w:val="00F912C1"/>
    <w:rsid w:val="00F91478"/>
    <w:rsid w:val="00F97082"/>
    <w:rsid w:val="00FA27B3"/>
    <w:rsid w:val="00FA36AB"/>
    <w:rsid w:val="00FB5CE8"/>
    <w:rsid w:val="00FC4DEB"/>
    <w:rsid w:val="00FC6BEB"/>
    <w:rsid w:val="00FD4F4B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6186BDCF"/>
  <w15:docId w15:val="{11FA6918-0980-467A-923E-AB12A8DA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Heading3">
    <w:name w:val="heading 3"/>
    <w:aliases w:val="Heading,3"/>
    <w:basedOn w:val="Normal"/>
    <w:next w:val="Normal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rFonts w:ascii="Arial" w:hAnsi="Arial" w:cs="Arial"/>
      <w:sz w:val="20"/>
      <w:lang w:eastAsia="de-D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semiHidden/>
    <w:rPr>
      <w:sz w:val="20"/>
      <w:szCs w:val="20"/>
      <w:lang w:val="de-DE" w:eastAsia="de-DE"/>
    </w:rPr>
  </w:style>
  <w:style w:type="paragraph" w:styleId="PlainText">
    <w:name w:val="Plain Text"/>
    <w:basedOn w:val="Normal"/>
    <w:rPr>
      <w:rFonts w:ascii="Arial" w:hAnsi="Arial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Normal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lang w:val="en-US" w:eastAsia="en-US"/>
    </w:rPr>
  </w:style>
  <w:style w:type="character" w:styleId="Emphasis">
    <w:name w:val="Emphasis"/>
    <w:qFormat/>
    <w:rsid w:val="00147A4E"/>
    <w:rPr>
      <w:i/>
      <w:iCs/>
    </w:rPr>
  </w:style>
  <w:style w:type="table" w:styleId="TableGrid">
    <w:name w:val="Table Grid"/>
    <w:basedOn w:val="TableNormal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5200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07D8"/>
    <w:rPr>
      <w:sz w:val="24"/>
      <w:szCs w:val="24"/>
      <w:lang w:val="en-US" w:eastAsia="en-US"/>
    </w:rPr>
  </w:style>
  <w:style w:type="paragraph" w:customStyle="1" w:styleId="Default">
    <w:name w:val="Default"/>
    <w:rsid w:val="00E90F7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7DB5D-7D6C-4383-A12A-9B7B5DA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 Jong</dc:creator>
  <cp:lastModifiedBy>Sascha Klöpper</cp:lastModifiedBy>
  <cp:revision>8</cp:revision>
  <cp:lastPrinted>2013-09-25T14:30:00Z</cp:lastPrinted>
  <dcterms:created xsi:type="dcterms:W3CDTF">2021-01-19T09:18:00Z</dcterms:created>
  <dcterms:modified xsi:type="dcterms:W3CDTF">2021-01-19T13:33:00Z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