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D3F1" w14:textId="12EF9509" w:rsidR="003268D8" w:rsidRPr="006607D8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16816A0" wp14:editId="3138C800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63B07CDA" w14:textId="77777777" w:rsidR="007F5F5C" w:rsidRPr="006607D8" w:rsidRDefault="007F5F5C" w:rsidP="007F5F5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World Heritage (TG-WH 30)</w:t>
      </w:r>
      <w:r w:rsidRPr="006607D8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51C975C8" w14:textId="042567D6" w:rsidR="007F5F5C" w:rsidRPr="00C133E0" w:rsidRDefault="007F5F5C" w:rsidP="007F5F5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29</w:t>
      </w:r>
      <w:r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248BE2B2" w14:textId="747CA7F6" w:rsidR="003268D8" w:rsidRPr="00C133E0" w:rsidRDefault="007829B0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</w:t>
      </w:r>
      <w:r w:rsidR="007F5F5C">
        <w:rPr>
          <w:rFonts w:ascii="Georgia" w:eastAsia="Batang" w:hAnsi="Georgia"/>
          <w:sz w:val="20"/>
          <w:szCs w:val="20"/>
          <w:lang w:val="en-GB" w:eastAsia="ko-KR"/>
        </w:rPr>
        <w:t xml:space="preserve">irtual meeting </w:t>
      </w:r>
    </w:p>
    <w:p w14:paraId="1727FCA9" w14:textId="77777777" w:rsidR="003268D8" w:rsidRPr="003C34F6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7414969D" w14:textId="69D22BA5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7829B0" w:rsidRPr="007829B0">
        <w:rPr>
          <w:rFonts w:ascii="Georgia" w:hAnsi="Georgia"/>
          <w:b/>
          <w:sz w:val="20"/>
          <w:szCs w:val="22"/>
          <w:lang w:val="en-GB"/>
        </w:rPr>
        <w:t>4. World Heritage Management Plan</w:t>
      </w:r>
    </w:p>
    <w:p w14:paraId="54E30037" w14:textId="27E1A324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7F5F5C" w:rsidRPr="009B2A05">
        <w:rPr>
          <w:rFonts w:ascii="Georgia" w:hAnsi="Georgia"/>
          <w:bCs/>
          <w:sz w:val="20"/>
          <w:szCs w:val="22"/>
          <w:lang w:val="en-GB"/>
        </w:rPr>
        <w:t>Development of the World Heritage Plan</w:t>
      </w:r>
    </w:p>
    <w:p w14:paraId="238C2F80" w14:textId="684C9696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7F5F5C">
        <w:rPr>
          <w:rFonts w:ascii="Georgia" w:hAnsi="Georgia"/>
          <w:sz w:val="20"/>
          <w:szCs w:val="22"/>
          <w:lang w:val="en-GB"/>
        </w:rPr>
        <w:t>TG-WH</w:t>
      </w:r>
      <w:r w:rsidR="007F5F5C" w:rsidRPr="003C34F6">
        <w:rPr>
          <w:rFonts w:ascii="Georgia" w:hAnsi="Georgia"/>
          <w:sz w:val="20"/>
          <w:szCs w:val="22"/>
          <w:lang w:val="en-GB"/>
        </w:rPr>
        <w:t xml:space="preserve"> 30/</w:t>
      </w:r>
      <w:r w:rsidR="007829B0">
        <w:rPr>
          <w:rFonts w:ascii="Georgia" w:hAnsi="Georgia"/>
          <w:sz w:val="20"/>
          <w:szCs w:val="22"/>
          <w:lang w:val="en-GB"/>
        </w:rPr>
        <w:t>4</w:t>
      </w:r>
    </w:p>
    <w:p w14:paraId="5406FC18" w14:textId="0D1B5599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sz w:val="20"/>
          <w:szCs w:val="22"/>
          <w:lang w:val="en-GB"/>
        </w:rPr>
        <w:t>1</w:t>
      </w:r>
      <w:r w:rsidR="007F5F5C">
        <w:rPr>
          <w:rFonts w:ascii="Georgia" w:hAnsi="Georgia"/>
          <w:sz w:val="20"/>
          <w:szCs w:val="22"/>
          <w:lang w:val="en-GB"/>
        </w:rPr>
        <w:t>7</w:t>
      </w:r>
      <w:r w:rsidR="00E05DFD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7F5F5C">
        <w:rPr>
          <w:rFonts w:ascii="Georgia" w:hAnsi="Georgia"/>
          <w:sz w:val="20"/>
          <w:szCs w:val="22"/>
          <w:lang w:val="en-GB"/>
        </w:rPr>
        <w:t>April</w:t>
      </w:r>
      <w:r w:rsidR="00E05DFD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7F5F5C">
        <w:rPr>
          <w:rFonts w:ascii="Georgia" w:hAnsi="Georgia"/>
          <w:sz w:val="20"/>
          <w:szCs w:val="22"/>
          <w:lang w:val="en-GB"/>
        </w:rPr>
        <w:t>2020</w:t>
      </w:r>
    </w:p>
    <w:p w14:paraId="2B020035" w14:textId="7A3695AB" w:rsidR="00884A64" w:rsidRPr="003C34F6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7F5F5C">
        <w:rPr>
          <w:rFonts w:ascii="Georgia" w:hAnsi="Georgia"/>
          <w:b/>
          <w:sz w:val="20"/>
          <w:szCs w:val="22"/>
          <w:lang w:val="en-GB"/>
        </w:rPr>
        <w:t>CWSS</w:t>
      </w:r>
    </w:p>
    <w:p w14:paraId="0BD0EB7B" w14:textId="3EF06A0A" w:rsidR="00A03187" w:rsidRDefault="005A4DCC" w:rsidP="005A4DCC">
      <w:pPr>
        <w:spacing w:after="200" w:line="276" w:lineRule="auto"/>
        <w:rPr>
          <w:rFonts w:ascii="Georgia" w:hAnsi="Georgia"/>
          <w:sz w:val="20"/>
          <w:szCs w:val="20"/>
        </w:rPr>
      </w:pPr>
      <w:r w:rsidRPr="009078DC">
        <w:rPr>
          <w:rFonts w:ascii="Georgia" w:hAnsi="Georgia"/>
          <w:sz w:val="20"/>
          <w:szCs w:val="20"/>
          <w:lang w:val="en-GB"/>
        </w:rPr>
        <w:t xml:space="preserve">The </w:t>
      </w:r>
      <w:r w:rsidRPr="002F4F70">
        <w:rPr>
          <w:rFonts w:ascii="Georgia" w:hAnsi="Georgia"/>
          <w:sz w:val="20"/>
          <w:szCs w:val="20"/>
          <w:lang w:val="en-GB"/>
        </w:rPr>
        <w:t>WSB 28 (March 2019) adopted the preliminary structure of the SIMP (</w:t>
      </w:r>
      <w:hyperlink r:id="rId9" w:history="1">
        <w:r w:rsidRPr="002F4F70">
          <w:rPr>
            <w:rStyle w:val="Hyperlink"/>
            <w:rFonts w:ascii="Georgia" w:hAnsi="Georgia"/>
            <w:i/>
            <w:sz w:val="20"/>
            <w:szCs w:val="20"/>
            <w:lang w:val="en-GB"/>
          </w:rPr>
          <w:t>WSB 28/5.1/2 Status Report SIMP</w:t>
        </w:r>
      </w:hyperlink>
      <w:r w:rsidRPr="002F4F70">
        <w:rPr>
          <w:rFonts w:ascii="Georgia" w:hAnsi="Georgia"/>
          <w:sz w:val="20"/>
          <w:szCs w:val="20"/>
          <w:lang w:val="en-GB"/>
        </w:rPr>
        <w:t>) and the development phases proposed by TG-WH.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A03187">
        <w:rPr>
          <w:rFonts w:ascii="Georgia" w:hAnsi="Georgia"/>
          <w:sz w:val="20"/>
          <w:szCs w:val="20"/>
          <w:lang w:val="en-GB"/>
        </w:rPr>
        <w:t xml:space="preserve">The preliminary SIMP structure was enriched by </w:t>
      </w:r>
      <w:r w:rsidR="00A03187" w:rsidRPr="00A03187">
        <w:rPr>
          <w:rFonts w:ascii="Georgia" w:hAnsi="Georgia"/>
          <w:sz w:val="20"/>
          <w:szCs w:val="20"/>
        </w:rPr>
        <w:t xml:space="preserve">the managers recommendations resulting from the </w:t>
      </w:r>
      <w:r w:rsidR="00CA6B62" w:rsidRPr="00A03187">
        <w:rPr>
          <w:rFonts w:ascii="Georgia" w:hAnsi="Georgia"/>
          <w:sz w:val="20"/>
          <w:szCs w:val="20"/>
        </w:rPr>
        <w:t>in-person</w:t>
      </w:r>
      <w:r w:rsidR="00A03187" w:rsidRPr="00A03187">
        <w:rPr>
          <w:rFonts w:ascii="Georgia" w:hAnsi="Georgia"/>
          <w:sz w:val="20"/>
          <w:szCs w:val="20"/>
        </w:rPr>
        <w:t xml:space="preserve"> interviews in July-August 2019 and the managers workshop in </w:t>
      </w:r>
      <w:proofErr w:type="spellStart"/>
      <w:r w:rsidR="00A03187" w:rsidRPr="00A03187">
        <w:rPr>
          <w:rFonts w:ascii="Georgia" w:hAnsi="Georgia"/>
          <w:sz w:val="20"/>
          <w:szCs w:val="20"/>
        </w:rPr>
        <w:t>Tönning</w:t>
      </w:r>
      <w:proofErr w:type="spellEnd"/>
      <w:r w:rsidR="00A03187" w:rsidRPr="00A03187">
        <w:rPr>
          <w:rFonts w:ascii="Georgia" w:hAnsi="Georgia"/>
          <w:sz w:val="20"/>
          <w:szCs w:val="20"/>
        </w:rPr>
        <w:t xml:space="preserve"> on 18-19 September 2019.  TG-WH 29 amended the SIMP preliminary structure which was </w:t>
      </w:r>
      <w:r w:rsidR="0012729C">
        <w:rPr>
          <w:rFonts w:ascii="Georgia" w:hAnsi="Georgia"/>
          <w:sz w:val="20"/>
          <w:szCs w:val="20"/>
        </w:rPr>
        <w:t xml:space="preserve">then </w:t>
      </w:r>
      <w:r w:rsidR="00A03187" w:rsidRPr="00A03187">
        <w:rPr>
          <w:rFonts w:ascii="Georgia" w:hAnsi="Georgia"/>
          <w:sz w:val="20"/>
          <w:szCs w:val="20"/>
        </w:rPr>
        <w:t>endorsed by the WSB 30 (</w:t>
      </w:r>
      <w:hyperlink r:id="rId10" w:history="1">
        <w:r w:rsidR="00667D27" w:rsidRPr="00667D27">
          <w:rPr>
            <w:rStyle w:val="Hyperlink"/>
            <w:rFonts w:ascii="Georgia" w:hAnsi="Georgia"/>
            <w:i/>
            <w:sz w:val="20"/>
            <w:szCs w:val="20"/>
            <w:lang w:val="en-GB"/>
          </w:rPr>
          <w:t>WSB30 5.1-2 SIMP status report.pdf</w:t>
        </w:r>
      </w:hyperlink>
      <w:r w:rsidR="00A03187" w:rsidRPr="00A03187">
        <w:rPr>
          <w:rFonts w:ascii="Georgia" w:hAnsi="Georgia"/>
          <w:sz w:val="20"/>
          <w:szCs w:val="20"/>
        </w:rPr>
        <w:t>) and further improved. The up-to date preliminary structure of the SIMP complies with para. 111 of the Operational Guidelines WHC and is used to develop the partial draft of the SIMP</w:t>
      </w:r>
      <w:r w:rsidR="0012729C">
        <w:rPr>
          <w:rFonts w:ascii="Georgia" w:hAnsi="Georgia"/>
          <w:sz w:val="20"/>
          <w:szCs w:val="20"/>
        </w:rPr>
        <w:t xml:space="preserve"> (attached)</w:t>
      </w:r>
      <w:r w:rsidR="00A03187" w:rsidRPr="00A03187">
        <w:rPr>
          <w:rFonts w:ascii="Georgia" w:hAnsi="Georgia"/>
          <w:sz w:val="20"/>
          <w:szCs w:val="20"/>
        </w:rPr>
        <w:t>.</w:t>
      </w:r>
    </w:p>
    <w:p w14:paraId="7A4C55D2" w14:textId="5CE2D4CA" w:rsidR="0012729C" w:rsidRDefault="0012729C" w:rsidP="005A4DCC">
      <w:pPr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Part of the SIMP are the key topics</w:t>
      </w:r>
      <w:r w:rsidR="00D84EB0">
        <w:rPr>
          <w:rFonts w:ascii="Georgia" w:hAnsi="Georgia"/>
          <w:sz w:val="20"/>
          <w:szCs w:val="20"/>
        </w:rPr>
        <w:t xml:space="preserve"> </w:t>
      </w:r>
      <w:r w:rsidR="00667D27">
        <w:rPr>
          <w:rFonts w:ascii="Georgia" w:hAnsi="Georgia"/>
          <w:sz w:val="20"/>
          <w:szCs w:val="20"/>
        </w:rPr>
        <w:t>(</w:t>
      </w:r>
      <w:r w:rsidR="00D84EB0" w:rsidRPr="00D84EB0">
        <w:rPr>
          <w:rFonts w:ascii="Georgia" w:hAnsi="Georgia"/>
          <w:sz w:val="20"/>
          <w:szCs w:val="20"/>
        </w:rPr>
        <w:t>overarching issues needed to be managed with priority and in a consistent way to maintain the OUV and the integrity</w:t>
      </w:r>
      <w:r w:rsidR="00CA6B62">
        <w:rPr>
          <w:rFonts w:ascii="Georgia" w:hAnsi="Georgia"/>
          <w:sz w:val="20"/>
          <w:szCs w:val="20"/>
        </w:rPr>
        <w:t xml:space="preserve">, </w:t>
      </w:r>
      <w:r w:rsidR="00D84EB0">
        <w:rPr>
          <w:rFonts w:ascii="Georgia" w:hAnsi="Georgia"/>
          <w:sz w:val="20"/>
          <w:szCs w:val="20"/>
        </w:rPr>
        <w:t xml:space="preserve">Annex 1 of the Leeuwarden Declaration). </w:t>
      </w:r>
      <w:r>
        <w:rPr>
          <w:rFonts w:ascii="Georgia" w:hAnsi="Georgia"/>
          <w:sz w:val="20"/>
          <w:szCs w:val="20"/>
        </w:rPr>
        <w:t xml:space="preserve"> </w:t>
      </w:r>
      <w:r w:rsidR="00D84EB0">
        <w:rPr>
          <w:rFonts w:ascii="Georgia" w:hAnsi="Georgia"/>
          <w:sz w:val="20"/>
          <w:szCs w:val="20"/>
        </w:rPr>
        <w:t xml:space="preserve">The selected key topics are the result of a process endorsed by </w:t>
      </w:r>
      <w:r w:rsidR="006C0435" w:rsidRPr="009078DC">
        <w:rPr>
          <w:rFonts w:ascii="Georgia" w:hAnsi="Georgia"/>
          <w:sz w:val="20"/>
          <w:szCs w:val="20"/>
          <w:lang w:val="en-GB"/>
        </w:rPr>
        <w:t>WSB</w:t>
      </w:r>
      <w:r w:rsidR="006C0435">
        <w:rPr>
          <w:rFonts w:ascii="Georgia" w:hAnsi="Georgia"/>
          <w:sz w:val="20"/>
          <w:szCs w:val="20"/>
          <w:lang w:val="en-GB"/>
        </w:rPr>
        <w:t xml:space="preserve"> 29 (</w:t>
      </w:r>
      <w:hyperlink r:id="rId11" w:history="1">
        <w:r w:rsidR="006C0435" w:rsidRPr="009078DC">
          <w:rPr>
            <w:rStyle w:val="Hyperlink"/>
            <w:rFonts w:ascii="Georgia" w:hAnsi="Georgia"/>
            <w:i/>
            <w:sz w:val="20"/>
            <w:szCs w:val="20"/>
            <w:lang w:val="en-GB"/>
          </w:rPr>
          <w:t>WSB 29/5.1/1 Status Report SIMP</w:t>
        </w:r>
      </w:hyperlink>
      <w:r w:rsidR="006C0435">
        <w:rPr>
          <w:rFonts w:ascii="Georgia" w:hAnsi="Georgia"/>
          <w:sz w:val="20"/>
          <w:szCs w:val="20"/>
          <w:lang w:val="en-GB"/>
        </w:rPr>
        <w:t xml:space="preserve">) </w:t>
      </w:r>
      <w:r w:rsidR="00D84EB0">
        <w:rPr>
          <w:rFonts w:ascii="Georgia" w:hAnsi="Georgia"/>
          <w:sz w:val="20"/>
          <w:szCs w:val="20"/>
        </w:rPr>
        <w:t xml:space="preserve">that includes the recommendations of the </w:t>
      </w:r>
      <w:r w:rsidR="00D84EB0" w:rsidRPr="009A7E14">
        <w:rPr>
          <w:rFonts w:ascii="Georgia" w:hAnsi="Georgia"/>
          <w:sz w:val="20"/>
          <w:szCs w:val="20"/>
        </w:rPr>
        <w:t xml:space="preserve">managers and </w:t>
      </w:r>
      <w:r w:rsidR="00CA6B62">
        <w:rPr>
          <w:rFonts w:ascii="Georgia" w:hAnsi="Georgia"/>
          <w:sz w:val="20"/>
          <w:szCs w:val="20"/>
        </w:rPr>
        <w:t>the</w:t>
      </w:r>
      <w:r w:rsidR="00D84EB0" w:rsidRPr="009A7E14">
        <w:rPr>
          <w:rFonts w:ascii="Georgia" w:hAnsi="Georgia"/>
          <w:sz w:val="20"/>
          <w:szCs w:val="20"/>
        </w:rPr>
        <w:t xml:space="preserve"> prioritization by TG-WH2</w:t>
      </w:r>
      <w:r w:rsidR="005259C0" w:rsidRPr="009A7E14">
        <w:rPr>
          <w:rFonts w:ascii="Georgia" w:hAnsi="Georgia"/>
          <w:sz w:val="20"/>
          <w:szCs w:val="20"/>
        </w:rPr>
        <w:t xml:space="preserve">9. The endorsed the key topics for the SIMP are fisheries, tourism, shipping, renewable energy, energy from oil and gas and coastal flood </w:t>
      </w:r>
      <w:proofErr w:type="spellStart"/>
      <w:r w:rsidR="005259C0" w:rsidRPr="009A7E14">
        <w:rPr>
          <w:rFonts w:ascii="Georgia" w:hAnsi="Georgia"/>
          <w:sz w:val="20"/>
          <w:szCs w:val="20"/>
        </w:rPr>
        <w:t>defence</w:t>
      </w:r>
      <w:proofErr w:type="spellEnd"/>
      <w:r w:rsidR="005259C0" w:rsidRPr="009A7E14">
        <w:rPr>
          <w:rFonts w:ascii="Georgia" w:hAnsi="Georgia"/>
          <w:sz w:val="20"/>
          <w:szCs w:val="20"/>
        </w:rPr>
        <w:t xml:space="preserve"> and protection.</w:t>
      </w:r>
    </w:p>
    <w:p w14:paraId="1A6FF215" w14:textId="1C667E4A" w:rsidR="005259C0" w:rsidRPr="00A03187" w:rsidRDefault="005259C0" w:rsidP="005A4DCC">
      <w:pPr>
        <w:spacing w:after="200" w:line="276" w:lineRule="auto"/>
        <w:rPr>
          <w:rFonts w:ascii="Georgia" w:hAnsi="Georgia"/>
          <w:sz w:val="20"/>
          <w:szCs w:val="20"/>
        </w:rPr>
      </w:pPr>
      <w:r w:rsidRPr="00CC4A26">
        <w:rPr>
          <w:rFonts w:ascii="Georgia" w:hAnsi="Georgia"/>
          <w:sz w:val="20"/>
          <w:szCs w:val="20"/>
        </w:rPr>
        <w:t xml:space="preserve">In the Joint SIMP meeting on 23 January 2020 in Hamburg, TG-M and TG-WH discussed and agreed on a referential structure for each key topic and on the next steps to develop the content. </w:t>
      </w:r>
      <w:r>
        <w:rPr>
          <w:rFonts w:ascii="Georgia" w:hAnsi="Georgia"/>
          <w:sz w:val="20"/>
          <w:szCs w:val="20"/>
        </w:rPr>
        <w:t xml:space="preserve">The referential content structure is the result of an analysis done by the members of both TGs </w:t>
      </w:r>
      <w:r w:rsidR="00CA6B62">
        <w:rPr>
          <w:rFonts w:ascii="Georgia" w:hAnsi="Georgia"/>
          <w:sz w:val="20"/>
          <w:szCs w:val="22"/>
        </w:rPr>
        <w:t>about</w:t>
      </w:r>
      <w:r>
        <w:rPr>
          <w:rFonts w:ascii="Georgia" w:hAnsi="Georgia"/>
          <w:sz w:val="20"/>
          <w:szCs w:val="22"/>
        </w:rPr>
        <w:t xml:space="preserve"> what is wanted and achievable for each key topic at the national levels and the trilateral cooperation level. The meeting agreed as well on </w:t>
      </w:r>
      <w:r w:rsidR="00667D27" w:rsidRPr="006C0435">
        <w:rPr>
          <w:rFonts w:ascii="Georgia" w:hAnsi="Georgia"/>
          <w:sz w:val="20"/>
          <w:szCs w:val="20"/>
        </w:rPr>
        <w:t>who</w:t>
      </w:r>
      <w:r w:rsidRPr="006C0435">
        <w:rPr>
          <w:rFonts w:ascii="Georgia" w:hAnsi="Georgia"/>
          <w:sz w:val="20"/>
          <w:szCs w:val="20"/>
        </w:rPr>
        <w:t xml:space="preserve"> should lead the content development for each key topic</w:t>
      </w:r>
      <w:r w:rsidR="00CA6B62">
        <w:rPr>
          <w:rFonts w:ascii="Georgia" w:hAnsi="Georgia"/>
          <w:sz w:val="20"/>
          <w:szCs w:val="20"/>
        </w:rPr>
        <w:t xml:space="preserve"> </w:t>
      </w:r>
      <w:r w:rsidR="00CA6B62">
        <w:rPr>
          <w:rFonts w:ascii="Georgia" w:hAnsi="Georgia"/>
          <w:sz w:val="20"/>
          <w:szCs w:val="20"/>
        </w:rPr>
        <w:t>(</w:t>
      </w:r>
      <w:hyperlink r:id="rId12" w:history="1">
        <w:r w:rsidR="00CA6B62" w:rsidRPr="001B1276">
          <w:rPr>
            <w:rStyle w:val="Hyperlink"/>
            <w:rFonts w:ascii="Georgia" w:hAnsi="Georgia"/>
            <w:i/>
            <w:sz w:val="20"/>
            <w:szCs w:val="20"/>
            <w:lang w:val="en-GB"/>
          </w:rPr>
          <w:t>SIMP joint meeting</w:t>
        </w:r>
        <w:r w:rsidR="00CA6B62">
          <w:rPr>
            <w:rStyle w:val="Hyperlink"/>
            <w:rFonts w:ascii="Georgia" w:hAnsi="Georgia"/>
            <w:i/>
            <w:sz w:val="20"/>
            <w:szCs w:val="20"/>
            <w:lang w:val="en-GB"/>
          </w:rPr>
          <w:t xml:space="preserve"> </w:t>
        </w:r>
        <w:r w:rsidR="00CA6B62" w:rsidRPr="001B1276">
          <w:rPr>
            <w:rStyle w:val="Hyperlink"/>
            <w:rFonts w:ascii="Georgia" w:hAnsi="Georgia"/>
            <w:i/>
            <w:sz w:val="20"/>
            <w:szCs w:val="20"/>
            <w:lang w:val="en-GB"/>
          </w:rPr>
          <w:t>summary record.pdf</w:t>
        </w:r>
      </w:hyperlink>
      <w:r w:rsidR="00CA6B62">
        <w:rPr>
          <w:rFonts w:ascii="Georgia" w:hAnsi="Georgia"/>
          <w:sz w:val="20"/>
          <w:szCs w:val="20"/>
        </w:rPr>
        <w:t>)</w:t>
      </w:r>
      <w:r w:rsidRPr="006C0435">
        <w:rPr>
          <w:rFonts w:ascii="Georgia" w:hAnsi="Georgia"/>
          <w:sz w:val="20"/>
          <w:szCs w:val="20"/>
        </w:rPr>
        <w:t>.</w:t>
      </w:r>
    </w:p>
    <w:p w14:paraId="5D71E997" w14:textId="73EED788" w:rsidR="00CA6B62" w:rsidRDefault="0012729C" w:rsidP="00CA6B62">
      <w:pPr>
        <w:spacing w:line="276" w:lineRule="auto"/>
        <w:rPr>
          <w:rFonts w:ascii="Georgia" w:hAnsi="Georgia"/>
          <w:sz w:val="20"/>
          <w:szCs w:val="20"/>
        </w:rPr>
      </w:pPr>
      <w:r w:rsidRPr="006C0435">
        <w:rPr>
          <w:rFonts w:ascii="Georgia" w:hAnsi="Georgia"/>
          <w:sz w:val="20"/>
          <w:szCs w:val="20"/>
        </w:rPr>
        <w:t xml:space="preserve">This meeting document </w:t>
      </w:r>
      <w:r w:rsidR="005259C0" w:rsidRPr="006C0435">
        <w:rPr>
          <w:rFonts w:ascii="Georgia" w:hAnsi="Georgia"/>
          <w:sz w:val="20"/>
          <w:szCs w:val="20"/>
        </w:rPr>
        <w:t xml:space="preserve">includes a short report on the status on the content development of each key topic and encloses a first partial </w:t>
      </w:r>
      <w:r w:rsidR="00866659" w:rsidRPr="006C0435">
        <w:rPr>
          <w:rFonts w:ascii="Georgia" w:hAnsi="Georgia"/>
          <w:sz w:val="20"/>
          <w:szCs w:val="20"/>
        </w:rPr>
        <w:t xml:space="preserve">annotated </w:t>
      </w:r>
      <w:r w:rsidR="005259C0" w:rsidRPr="006C0435">
        <w:rPr>
          <w:rFonts w:ascii="Georgia" w:hAnsi="Georgia"/>
          <w:sz w:val="20"/>
          <w:szCs w:val="20"/>
        </w:rPr>
        <w:t xml:space="preserve">draft of the SIMP (without the content of the key topics) for your revision and comment. </w:t>
      </w:r>
      <w:r w:rsidR="00866659" w:rsidRPr="006C0435">
        <w:rPr>
          <w:rFonts w:ascii="Georgia" w:hAnsi="Georgia"/>
          <w:sz w:val="20"/>
          <w:szCs w:val="20"/>
        </w:rPr>
        <w:t>A lot of the content is still missing so please refr</w:t>
      </w:r>
      <w:r w:rsidR="00CA6B62">
        <w:rPr>
          <w:rFonts w:ascii="Georgia" w:hAnsi="Georgia"/>
          <w:sz w:val="20"/>
          <w:szCs w:val="20"/>
        </w:rPr>
        <w:t>ain</w:t>
      </w:r>
      <w:r w:rsidR="00866659" w:rsidRPr="006C0435">
        <w:rPr>
          <w:rFonts w:ascii="Georgia" w:hAnsi="Georgia"/>
          <w:sz w:val="20"/>
          <w:szCs w:val="20"/>
        </w:rPr>
        <w:t xml:space="preserve"> from grammatical or orthographic editing, this will be done by a professional. Focus on the general aim of the SIMP</w:t>
      </w:r>
      <w:r w:rsidR="006C0435" w:rsidRPr="006C0435">
        <w:rPr>
          <w:rFonts w:ascii="Georgia" w:hAnsi="Georgia"/>
          <w:sz w:val="20"/>
          <w:szCs w:val="20"/>
        </w:rPr>
        <w:t xml:space="preserve"> (further facilitate management coordination for the protection and maintenance of the OUV by providing a clear overview of the management system and addressing the key topics that need ongoing attention)</w:t>
      </w:r>
      <w:r w:rsidR="00866659" w:rsidRPr="006C0435">
        <w:rPr>
          <w:rFonts w:ascii="Georgia" w:hAnsi="Georgia"/>
          <w:sz w:val="20"/>
          <w:szCs w:val="20"/>
        </w:rPr>
        <w:t xml:space="preserve">, are we </w:t>
      </w:r>
      <w:r w:rsidR="006C0435" w:rsidRPr="006C0435">
        <w:rPr>
          <w:rFonts w:ascii="Georgia" w:hAnsi="Georgia"/>
          <w:sz w:val="20"/>
          <w:szCs w:val="20"/>
        </w:rPr>
        <w:t>on the right track</w:t>
      </w:r>
      <w:r w:rsidR="00866659" w:rsidRPr="006C0435">
        <w:rPr>
          <w:rFonts w:ascii="Georgia" w:hAnsi="Georgia"/>
          <w:sz w:val="20"/>
          <w:szCs w:val="20"/>
        </w:rPr>
        <w:t xml:space="preserve">? </w:t>
      </w:r>
    </w:p>
    <w:p w14:paraId="76CC2D7A" w14:textId="77777777" w:rsidR="00CA6B62" w:rsidRDefault="00CA6B62" w:rsidP="00CA6B62">
      <w:pPr>
        <w:spacing w:line="276" w:lineRule="auto"/>
        <w:rPr>
          <w:rFonts w:ascii="Georgia" w:hAnsi="Georgia"/>
          <w:sz w:val="20"/>
          <w:szCs w:val="20"/>
        </w:rPr>
      </w:pPr>
    </w:p>
    <w:p w14:paraId="13C2FAD6" w14:textId="075CF785" w:rsidR="0012729C" w:rsidRDefault="0012729C" w:rsidP="00CA6B62">
      <w:pPr>
        <w:spacing w:after="20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Pr="00C133E0">
        <w:rPr>
          <w:rFonts w:ascii="Georgia" w:hAnsi="Georgia"/>
          <w:sz w:val="22"/>
          <w:szCs w:val="22"/>
          <w:lang w:val="en-GB"/>
        </w:rPr>
        <w:t xml:space="preserve">The meeting is invited to </w:t>
      </w:r>
      <w:r w:rsidR="00900DEC">
        <w:rPr>
          <w:rFonts w:ascii="Georgia" w:hAnsi="Georgia"/>
          <w:sz w:val="22"/>
          <w:szCs w:val="22"/>
          <w:lang w:val="en-GB"/>
        </w:rPr>
        <w:t xml:space="preserve">discuss the progress reached so far </w:t>
      </w:r>
      <w:r w:rsidR="00CA6B62">
        <w:rPr>
          <w:rFonts w:ascii="Georgia" w:hAnsi="Georgia"/>
          <w:sz w:val="22"/>
          <w:szCs w:val="22"/>
          <w:lang w:val="en-GB"/>
        </w:rPr>
        <w:t>and give</w:t>
      </w:r>
      <w:r w:rsidR="00900DEC">
        <w:rPr>
          <w:rFonts w:ascii="Georgia" w:hAnsi="Georgia"/>
          <w:sz w:val="22"/>
          <w:szCs w:val="22"/>
          <w:lang w:val="en-GB"/>
        </w:rPr>
        <w:t xml:space="preserve"> general input to the document</w:t>
      </w:r>
      <w:r w:rsidR="00CA6B62">
        <w:rPr>
          <w:rFonts w:ascii="Georgia" w:hAnsi="Georgia"/>
          <w:sz w:val="22"/>
          <w:szCs w:val="22"/>
          <w:lang w:val="en-GB"/>
        </w:rPr>
        <w:t>.</w:t>
      </w:r>
      <w:r w:rsidR="00900DEC">
        <w:rPr>
          <w:rFonts w:ascii="Georgia" w:hAnsi="Georgia"/>
          <w:sz w:val="22"/>
          <w:szCs w:val="22"/>
          <w:lang w:val="en-GB"/>
        </w:rPr>
        <w:t xml:space="preserve"> The meeting is further invited to </w:t>
      </w:r>
      <w:r>
        <w:rPr>
          <w:rFonts w:ascii="Georgia" w:hAnsi="Georgia"/>
          <w:sz w:val="22"/>
          <w:szCs w:val="22"/>
          <w:lang w:val="en-GB"/>
        </w:rPr>
        <w:t>submit</w:t>
      </w:r>
      <w:r w:rsidR="00900DEC">
        <w:rPr>
          <w:rFonts w:ascii="Georgia" w:hAnsi="Georgia"/>
          <w:sz w:val="22"/>
          <w:szCs w:val="22"/>
          <w:lang w:val="en-GB"/>
        </w:rPr>
        <w:t xml:space="preserve"> </w:t>
      </w:r>
      <w:r w:rsidR="00CA6B62">
        <w:rPr>
          <w:rFonts w:ascii="Georgia" w:hAnsi="Georgia"/>
          <w:sz w:val="22"/>
          <w:szCs w:val="22"/>
          <w:lang w:val="en-GB"/>
        </w:rPr>
        <w:t>detailed input</w:t>
      </w:r>
      <w:r>
        <w:rPr>
          <w:rFonts w:ascii="Georgia" w:hAnsi="Georgia"/>
          <w:sz w:val="22"/>
          <w:szCs w:val="22"/>
          <w:lang w:val="en-GB"/>
        </w:rPr>
        <w:t xml:space="preserve"> to</w:t>
      </w:r>
      <w:r w:rsidRPr="00C133E0">
        <w:rPr>
          <w:rFonts w:ascii="Georgia" w:hAnsi="Georgia"/>
          <w:sz w:val="22"/>
          <w:szCs w:val="22"/>
          <w:lang w:val="en-GB"/>
        </w:rPr>
        <w:t xml:space="preserve"> the document</w:t>
      </w:r>
      <w:r>
        <w:rPr>
          <w:rFonts w:ascii="Georgia" w:hAnsi="Georgia"/>
          <w:sz w:val="22"/>
          <w:szCs w:val="22"/>
          <w:lang w:val="en-GB"/>
        </w:rPr>
        <w:t xml:space="preserve"> in a written form</w:t>
      </w:r>
      <w:r w:rsidR="006C0435">
        <w:rPr>
          <w:rFonts w:ascii="Georgia" w:hAnsi="Georgia"/>
          <w:sz w:val="22"/>
          <w:szCs w:val="22"/>
          <w:lang w:val="en-GB"/>
        </w:rPr>
        <w:t xml:space="preserve"> (latest by </w:t>
      </w:r>
      <w:r w:rsidR="00CA6B62">
        <w:rPr>
          <w:rFonts w:ascii="Georgia" w:hAnsi="Georgia"/>
          <w:sz w:val="22"/>
          <w:szCs w:val="22"/>
          <w:lang w:val="en-GB"/>
        </w:rPr>
        <w:t>6</w:t>
      </w:r>
      <w:r w:rsidR="006C0435">
        <w:rPr>
          <w:rFonts w:ascii="Georgia" w:hAnsi="Georgia"/>
          <w:sz w:val="22"/>
          <w:szCs w:val="22"/>
          <w:lang w:val="en-GB"/>
        </w:rPr>
        <w:t xml:space="preserve"> </w:t>
      </w:r>
      <w:r w:rsidR="00CA6B62">
        <w:rPr>
          <w:rFonts w:ascii="Georgia" w:hAnsi="Georgia"/>
          <w:sz w:val="22"/>
          <w:szCs w:val="22"/>
          <w:lang w:val="en-GB"/>
        </w:rPr>
        <w:t>May</w:t>
      </w:r>
      <w:r w:rsidR="006C0435">
        <w:rPr>
          <w:rFonts w:ascii="Georgia" w:hAnsi="Georgia"/>
          <w:sz w:val="22"/>
          <w:szCs w:val="22"/>
          <w:lang w:val="en-GB"/>
        </w:rPr>
        <w:t>)</w:t>
      </w:r>
      <w:r w:rsidRPr="00C133E0">
        <w:rPr>
          <w:rFonts w:ascii="Georgia" w:hAnsi="Georgia"/>
          <w:sz w:val="22"/>
          <w:szCs w:val="22"/>
          <w:lang w:val="en-GB"/>
        </w:rPr>
        <w:t>.</w:t>
      </w:r>
      <w:r w:rsidR="006C0435">
        <w:rPr>
          <w:rFonts w:ascii="Georgia" w:hAnsi="Georgia"/>
          <w:sz w:val="22"/>
          <w:szCs w:val="22"/>
          <w:lang w:val="en-GB"/>
        </w:rPr>
        <w:t xml:space="preserve"> TG-WH m</w:t>
      </w:r>
      <w:r>
        <w:rPr>
          <w:rFonts w:ascii="Georgia" w:hAnsi="Georgia"/>
          <w:sz w:val="22"/>
          <w:szCs w:val="22"/>
          <w:lang w:val="en-GB"/>
        </w:rPr>
        <w:t xml:space="preserve">embers will be contacted by </w:t>
      </w:r>
      <w:r>
        <w:rPr>
          <w:rFonts w:ascii="Georgia" w:hAnsi="Georgia"/>
          <w:sz w:val="22"/>
          <w:szCs w:val="22"/>
          <w:lang w:val="en-GB"/>
        </w:rPr>
        <w:t>Ms Luna to agree on bilateral meeting’s dates</w:t>
      </w:r>
      <w:r w:rsidR="006C0435">
        <w:rPr>
          <w:rFonts w:ascii="Georgia" w:hAnsi="Georgia"/>
          <w:sz w:val="22"/>
          <w:szCs w:val="22"/>
          <w:lang w:val="en-GB"/>
        </w:rPr>
        <w:t xml:space="preserve"> for detailed further input</w:t>
      </w:r>
      <w:r>
        <w:rPr>
          <w:rFonts w:ascii="Georgia" w:hAnsi="Georgia"/>
          <w:sz w:val="22"/>
          <w:szCs w:val="22"/>
          <w:lang w:val="en-GB"/>
        </w:rPr>
        <w:t>.</w:t>
      </w:r>
    </w:p>
    <w:p w14:paraId="77C5EB10" w14:textId="0B22DE25" w:rsidR="006C0435" w:rsidRDefault="006C0435" w:rsidP="006C0435">
      <w:pPr>
        <w:pStyle w:val="Listenabsatz"/>
        <w:numPr>
          <w:ilvl w:val="0"/>
          <w:numId w:val="23"/>
        </w:numPr>
        <w:spacing w:after="120"/>
        <w:rPr>
          <w:rFonts w:ascii="Arial" w:hAnsi="Arial" w:cs="Arial"/>
          <w:b/>
          <w:szCs w:val="28"/>
          <w:lang w:val="en-GB"/>
        </w:rPr>
      </w:pPr>
      <w:r w:rsidRPr="006C0435">
        <w:rPr>
          <w:rFonts w:ascii="Arial" w:hAnsi="Arial" w:cs="Arial"/>
          <w:b/>
          <w:szCs w:val="28"/>
          <w:lang w:val="en-GB"/>
        </w:rPr>
        <w:lastRenderedPageBreak/>
        <w:t>Report on the status on the content development of each key topic</w:t>
      </w:r>
    </w:p>
    <w:p w14:paraId="53B0E285" w14:textId="77777777" w:rsidR="009A7E14" w:rsidRPr="006C0435" w:rsidRDefault="009A7E14" w:rsidP="009A7E14">
      <w:pPr>
        <w:pStyle w:val="Listenabsatz"/>
        <w:spacing w:after="120"/>
        <w:rPr>
          <w:rFonts w:ascii="Arial" w:hAnsi="Arial" w:cs="Arial"/>
          <w:b/>
          <w:szCs w:val="28"/>
          <w:lang w:val="en-GB"/>
        </w:rPr>
      </w:pPr>
    </w:p>
    <w:tbl>
      <w:tblPr>
        <w:tblStyle w:val="Tabellenraster"/>
        <w:tblW w:w="0" w:type="auto"/>
        <w:tblBorders>
          <w:top w:val="single" w:sz="4" w:space="0" w:color="0078B6" w:themeColor="accent2"/>
          <w:left w:val="none" w:sz="0" w:space="0" w:color="auto"/>
          <w:bottom w:val="single" w:sz="4" w:space="0" w:color="0078B6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1"/>
      </w:tblGrid>
      <w:tr w:rsidR="006C0435" w:rsidRPr="00FC2B13" w14:paraId="16B75AFD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7C9A8868" w14:textId="6236ECE9" w:rsidR="006C0435" w:rsidRPr="002163D4" w:rsidRDefault="00FC2B13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sz w:val="20"/>
                <w:szCs w:val="20"/>
              </w:rPr>
              <w:t>Key topic: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4F6FFFDB" w14:textId="29D824B6" w:rsidR="006C0435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F</w:t>
            </w:r>
            <w:r w:rsidR="00FC2B13" w:rsidRPr="00FC2B13">
              <w:rPr>
                <w:rFonts w:ascii="Georgia" w:eastAsia="Times New Roman" w:hAnsi="Georgia" w:cs="Times New Roman"/>
                <w:sz w:val="20"/>
                <w:szCs w:val="20"/>
              </w:rPr>
              <w:t>isheries</w:t>
            </w:r>
          </w:p>
        </w:tc>
      </w:tr>
      <w:tr w:rsidR="006C0435" w:rsidRPr="00FC2B13" w14:paraId="0D2815A9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132A5B01" w14:textId="0872714F" w:rsidR="006C0435" w:rsidRPr="002163D4" w:rsidRDefault="00FC2B13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5AF1E697" w14:textId="146FF74B" w:rsidR="006C0435" w:rsidRPr="00FC2B13" w:rsidRDefault="00FC2B13" w:rsidP="00884A6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C2B13">
              <w:rPr>
                <w:rFonts w:ascii="Georgia" w:eastAsia="Times New Roman" w:hAnsi="Georgia" w:cs="Times New Roman"/>
                <w:sz w:val="20"/>
                <w:szCs w:val="20"/>
              </w:rPr>
              <w:t xml:space="preserve">TG-M and fisheries specialists from the different countries, in the future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potential group.</w:t>
            </w:r>
          </w:p>
        </w:tc>
      </w:tr>
      <w:tr w:rsidR="006C0435" w:rsidRPr="00FC2B13" w14:paraId="1C08AA28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D3AFF6" w14:textId="28C3F081" w:rsidR="006C0435" w:rsidRPr="002163D4" w:rsidRDefault="00FC2B13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Status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259B8" w14:textId="54F8AAB6" w:rsidR="006C0435" w:rsidRPr="00FC2B13" w:rsidRDefault="00FC2B13" w:rsidP="00884A6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Partial d</w:t>
            </w:r>
            <w:r w:rsidRPr="000F5B47">
              <w:rPr>
                <w:rFonts w:ascii="Georgia" w:hAnsi="Georgia"/>
                <w:sz w:val="18"/>
                <w:szCs w:val="18"/>
              </w:rPr>
              <w:t>raft</w:t>
            </w:r>
            <w:r>
              <w:rPr>
                <w:rFonts w:ascii="Georgia" w:hAnsi="Georgia"/>
                <w:sz w:val="18"/>
                <w:szCs w:val="18"/>
              </w:rPr>
              <w:t xml:space="preserve"> of</w:t>
            </w:r>
            <w:r w:rsidRPr="000F5B47"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t xml:space="preserve">content of the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reviewed in TG-M 20-1 (17.03.2020)</w:t>
            </w:r>
          </w:p>
        </w:tc>
      </w:tr>
      <w:tr w:rsidR="006C0435" w:rsidRPr="00FC2B13" w14:paraId="054C5C5A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137490DC" w14:textId="3A780E6C" w:rsidR="006C0435" w:rsidRPr="002163D4" w:rsidRDefault="00FC2B13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Next </w:t>
            </w:r>
            <w:r w:rsidR="003F0E2B"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immediate </w:t>
            </w: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steps</w:t>
            </w:r>
            <w:r w:rsidR="003F0E2B"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47DD036E" w14:textId="40702418" w:rsidR="003F0E2B" w:rsidRDefault="00FC2B13" w:rsidP="00FC2B13">
            <w:pPr>
              <w:tabs>
                <w:tab w:val="left" w:pos="142"/>
              </w:tabs>
              <w:spacing w:after="200" w:line="276" w:lineRule="auto"/>
              <w:rPr>
                <w:rFonts w:ascii="Georgia" w:hAnsi="Georgia"/>
                <w:sz w:val="20"/>
                <w:szCs w:val="22"/>
                <w:lang w:val="en-GB"/>
              </w:rPr>
            </w:pPr>
            <w:r>
              <w:rPr>
                <w:rFonts w:ascii="Georgia" w:hAnsi="Georgia"/>
                <w:sz w:val="20"/>
                <w:szCs w:val="22"/>
                <w:lang w:val="en-GB"/>
              </w:rPr>
              <w:t>TG-M members will update their respective part of the inventory. Develop recommendations for each principle of the Framework Sustainable Fishery, including a policy analysis.</w:t>
            </w:r>
            <w:r w:rsidR="009A7E14">
              <w:rPr>
                <w:rFonts w:ascii="Georgia" w:hAnsi="Georgia"/>
                <w:sz w:val="20"/>
                <w:szCs w:val="22"/>
                <w:lang w:val="en-GB"/>
              </w:rPr>
              <w:t xml:space="preserve"> </w:t>
            </w:r>
            <w:r w:rsidR="003F0E2B">
              <w:rPr>
                <w:rFonts w:ascii="Georgia" w:hAnsi="Georgia"/>
                <w:sz w:val="20"/>
                <w:szCs w:val="22"/>
                <w:lang w:val="en-GB"/>
              </w:rPr>
              <w:t>In due time for WSB 31</w:t>
            </w:r>
          </w:p>
          <w:p w14:paraId="79E5F09B" w14:textId="444753E6" w:rsidR="003F0E2B" w:rsidRPr="00FC2B13" w:rsidRDefault="003F0E2B" w:rsidP="00FC2B13">
            <w:pPr>
              <w:tabs>
                <w:tab w:val="left" w:pos="142"/>
              </w:tabs>
              <w:spacing w:after="200" w:line="276" w:lineRule="auto"/>
              <w:rPr>
                <w:rFonts w:ascii="Georgia" w:hAnsi="Georgia"/>
                <w:sz w:val="20"/>
                <w:szCs w:val="22"/>
                <w:lang w:val="en-GB"/>
              </w:rPr>
            </w:pPr>
            <w:r>
              <w:rPr>
                <w:rFonts w:ascii="Georgia" w:hAnsi="Georgia"/>
                <w:sz w:val="20"/>
                <w:szCs w:val="22"/>
                <w:lang w:val="en-GB"/>
              </w:rPr>
              <w:t>Arrange bilateral meetings to gather management approaches (April – May).</w:t>
            </w:r>
          </w:p>
        </w:tc>
      </w:tr>
      <w:tr w:rsidR="003F0E2B" w:rsidRPr="00FC2B13" w14:paraId="7F10459D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5D7FADDA" w14:textId="637AF871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sz w:val="20"/>
                <w:szCs w:val="20"/>
              </w:rPr>
              <w:t>Key topic: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063D7724" w14:textId="346B096A" w:rsidR="003F0E2B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</w:t>
            </w:r>
            <w:r w:rsidR="003F0E2B" w:rsidRPr="00CC4A26">
              <w:rPr>
                <w:rFonts w:ascii="Georgia" w:hAnsi="Georgia"/>
                <w:sz w:val="20"/>
                <w:szCs w:val="20"/>
              </w:rPr>
              <w:t>ourism</w:t>
            </w:r>
          </w:p>
        </w:tc>
      </w:tr>
      <w:tr w:rsidR="003F0E2B" w:rsidRPr="00FC2B13" w14:paraId="335D87A9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2E4B9850" w14:textId="7F99EA41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251F0DB4" w14:textId="3ABAA497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NG-ST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with support of </w:t>
            </w:r>
            <w:r w:rsidRPr="000F5B47">
              <w:rPr>
                <w:rFonts w:ascii="Georgia" w:hAnsi="Georgia" w:cs="Times New Roman"/>
                <w:sz w:val="18"/>
                <w:szCs w:val="18"/>
              </w:rPr>
              <w:t>managers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. Support of TG-MA and </w:t>
            </w:r>
            <w:r w:rsidRPr="000F5B47">
              <w:rPr>
                <w:rFonts w:ascii="Georgia" w:hAnsi="Georgia" w:cs="Times New Roman"/>
                <w:sz w:val="18"/>
                <w:szCs w:val="18"/>
              </w:rPr>
              <w:t>TR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C </w:t>
            </w:r>
            <w:r w:rsidRPr="000F5B47">
              <w:rPr>
                <w:rFonts w:ascii="Georgia" w:hAnsi="Georgia" w:cs="Times New Roman"/>
                <w:sz w:val="18"/>
                <w:szCs w:val="18"/>
              </w:rPr>
              <w:t>for socio-econ</w:t>
            </w:r>
            <w:r>
              <w:rPr>
                <w:rFonts w:ascii="Georgia" w:hAnsi="Georgia" w:cs="Times New Roman"/>
                <w:sz w:val="18"/>
                <w:szCs w:val="18"/>
              </w:rPr>
              <w:t>omic</w:t>
            </w:r>
            <w:r w:rsidRPr="000F5B47">
              <w:rPr>
                <w:rFonts w:ascii="Georgia" w:hAnsi="Georgia" w:cs="Times New Roman"/>
                <w:sz w:val="18"/>
                <w:szCs w:val="18"/>
              </w:rPr>
              <w:t xml:space="preserve"> monitoring</w:t>
            </w:r>
            <w:r>
              <w:rPr>
                <w:rFonts w:ascii="Georgia" w:hAnsi="Georgia" w:cs="Times New Roman"/>
                <w:sz w:val="18"/>
                <w:szCs w:val="18"/>
              </w:rPr>
              <w:t>.</w:t>
            </w:r>
          </w:p>
        </w:tc>
      </w:tr>
      <w:tr w:rsidR="003F0E2B" w:rsidRPr="00FC2B13" w14:paraId="7C00F461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2A2CFF" w14:textId="4EBCAC55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Status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0CFADE" w14:textId="5F2CDC49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Partial d</w:t>
            </w:r>
            <w:r w:rsidRPr="000F5B47">
              <w:rPr>
                <w:rFonts w:ascii="Georgia" w:hAnsi="Georgia"/>
                <w:sz w:val="18"/>
                <w:szCs w:val="18"/>
              </w:rPr>
              <w:t>raft</w:t>
            </w:r>
            <w:r>
              <w:rPr>
                <w:rFonts w:ascii="Georgia" w:hAnsi="Georgia"/>
                <w:sz w:val="18"/>
                <w:szCs w:val="18"/>
              </w:rPr>
              <w:t xml:space="preserve"> of</w:t>
            </w:r>
            <w:r w:rsidRPr="000F5B47"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t xml:space="preserve">content of the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reviewed in CWSS.</w:t>
            </w:r>
          </w:p>
        </w:tc>
      </w:tr>
      <w:tr w:rsidR="003F0E2B" w:rsidRPr="00FC2B13" w14:paraId="3CA0A054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4BAC365B" w14:textId="2C1052A4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Next immediate steps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28AE2A7C" w14:textId="51A918E5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Bilateral meetings with key members of the NG-ST and people in charge of tourism management.</w:t>
            </w:r>
          </w:p>
        </w:tc>
      </w:tr>
      <w:tr w:rsidR="003F0E2B" w:rsidRPr="00FC2B13" w14:paraId="66BA90F7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1B4344BE" w14:textId="19967B3C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sz w:val="20"/>
                <w:szCs w:val="20"/>
              </w:rPr>
              <w:t>Key topic: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7EB0FBD8" w14:textId="197B4F0A" w:rsidR="003F0E2B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</w:t>
            </w:r>
            <w:r w:rsidR="003F0E2B" w:rsidRPr="009A7E14">
              <w:rPr>
                <w:rFonts w:ascii="Georgia" w:hAnsi="Georgia"/>
                <w:sz w:val="20"/>
                <w:szCs w:val="20"/>
              </w:rPr>
              <w:t>hipping</w:t>
            </w:r>
          </w:p>
        </w:tc>
      </w:tr>
      <w:tr w:rsidR="003F0E2B" w:rsidRPr="00FC2B13" w14:paraId="6AA892C5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1E584B8B" w14:textId="3D026E6F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3C56D7FB" w14:textId="24B36656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46F">
              <w:rPr>
                <w:rFonts w:ascii="Georgia" w:hAnsi="Georgia" w:cs="Times New Roman"/>
                <w:sz w:val="18"/>
                <w:szCs w:val="18"/>
              </w:rPr>
              <w:t>WSF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to organize a round table</w:t>
            </w:r>
            <w:r w:rsidRPr="00D5746F">
              <w:rPr>
                <w:rFonts w:ascii="Georgia" w:hAnsi="Georgia" w:cs="Times New Roman"/>
                <w:sz w:val="18"/>
                <w:szCs w:val="18"/>
              </w:rPr>
              <w:t>, with support from TG-M and CWSS</w:t>
            </w:r>
          </w:p>
        </w:tc>
      </w:tr>
      <w:tr w:rsidR="003F0E2B" w:rsidRPr="00FC2B13" w14:paraId="6179E7BE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13808E" w14:textId="215376A9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Status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4381A0" w14:textId="77777777" w:rsidR="003F0E2B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Round table postponed due to COVID-19</w:t>
            </w:r>
          </w:p>
          <w:p w14:paraId="6737C47D" w14:textId="5B0AB869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Partial d</w:t>
            </w:r>
            <w:r w:rsidRPr="000F5B47">
              <w:rPr>
                <w:rFonts w:ascii="Georgia" w:hAnsi="Georgia"/>
                <w:sz w:val="18"/>
                <w:szCs w:val="18"/>
              </w:rPr>
              <w:t>raft</w:t>
            </w:r>
            <w:r>
              <w:rPr>
                <w:rFonts w:ascii="Georgia" w:hAnsi="Georgia"/>
                <w:sz w:val="18"/>
                <w:szCs w:val="18"/>
              </w:rPr>
              <w:t xml:space="preserve"> of</w:t>
            </w:r>
            <w:r w:rsidRPr="000F5B47"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t xml:space="preserve">content of the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reviewed in CWSS and WSF Coordinator.</w:t>
            </w:r>
          </w:p>
        </w:tc>
      </w:tr>
      <w:tr w:rsidR="003F0E2B" w:rsidRPr="00FC2B13" w14:paraId="00DBAC61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1CBC594A" w14:textId="19FBFF2C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Next immediate steps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00BA29A1" w14:textId="4CB59CED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2"/>
                <w:lang w:val="en-GB"/>
              </w:rPr>
              <w:t xml:space="preserve">Arrange bilateral meetings to improve </w:t>
            </w:r>
            <w:r w:rsidRPr="000F5B47">
              <w:rPr>
                <w:rFonts w:ascii="Georgia" w:hAnsi="Georgia"/>
                <w:sz w:val="18"/>
                <w:szCs w:val="18"/>
              </w:rPr>
              <w:t>“Inventory” and “Common ground”</w:t>
            </w:r>
          </w:p>
        </w:tc>
      </w:tr>
      <w:tr w:rsidR="003F0E2B" w:rsidRPr="00FC2B13" w14:paraId="62325383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0670C322" w14:textId="7BFF2BB3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sz w:val="20"/>
                <w:szCs w:val="20"/>
              </w:rPr>
              <w:t>Key topic: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2EFAAFAD" w14:textId="56A4F91A" w:rsidR="003F0E2B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</w:t>
            </w:r>
            <w:r w:rsidR="003F0E2B" w:rsidRPr="009A7E14">
              <w:rPr>
                <w:rFonts w:ascii="Georgia" w:hAnsi="Georgia"/>
                <w:sz w:val="20"/>
                <w:szCs w:val="20"/>
              </w:rPr>
              <w:t>enewable energy</w:t>
            </w:r>
            <w:r>
              <w:rPr>
                <w:rFonts w:ascii="Georgia" w:hAnsi="Georgia"/>
                <w:sz w:val="20"/>
                <w:szCs w:val="20"/>
              </w:rPr>
              <w:t xml:space="preserve"> and</w:t>
            </w:r>
            <w:r w:rsidR="003F0E2B" w:rsidRPr="009A7E14">
              <w:rPr>
                <w:rFonts w:ascii="Georgia" w:hAnsi="Georgia"/>
                <w:sz w:val="20"/>
                <w:szCs w:val="20"/>
              </w:rPr>
              <w:t xml:space="preserve"> energy from oil and gas</w:t>
            </w:r>
          </w:p>
        </w:tc>
      </w:tr>
      <w:tr w:rsidR="003F0E2B" w:rsidRPr="00FC2B13" w14:paraId="35D36019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3FBABD41" w14:textId="073C5FE0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79FB3955" w14:textId="1F60DF92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27C9D">
              <w:rPr>
                <w:rFonts w:ascii="Georgia" w:hAnsi="Georgia" w:cs="Times New Roman"/>
                <w:sz w:val="18"/>
                <w:szCs w:val="18"/>
              </w:rPr>
              <w:t>TG-M</w:t>
            </w:r>
            <w:r>
              <w:rPr>
                <w:rFonts w:ascii="Georgia" w:hAnsi="Georgia" w:cs="Times New Roman"/>
                <w:sz w:val="18"/>
                <w:szCs w:val="18"/>
              </w:rPr>
              <w:t>, for now working approach in bilateral meetings</w:t>
            </w:r>
          </w:p>
        </w:tc>
      </w:tr>
      <w:tr w:rsidR="003F0E2B" w:rsidRPr="00FC2B13" w14:paraId="6E79173C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1A806B" w14:textId="3236D2F1" w:rsidR="003F0E2B" w:rsidRPr="002163D4" w:rsidRDefault="003F0E2B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Status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BD3A79" w14:textId="03F200B9" w:rsidR="003F0E2B" w:rsidRPr="00FC2B13" w:rsidRDefault="003F0E2B" w:rsidP="003F0E2B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Partial d</w:t>
            </w:r>
            <w:r w:rsidRPr="000F5B47">
              <w:rPr>
                <w:rFonts w:ascii="Georgia" w:hAnsi="Georgia"/>
                <w:sz w:val="18"/>
                <w:szCs w:val="18"/>
              </w:rPr>
              <w:t>raft</w:t>
            </w:r>
            <w:r>
              <w:rPr>
                <w:rFonts w:ascii="Georgia" w:hAnsi="Georgia"/>
                <w:sz w:val="18"/>
                <w:szCs w:val="18"/>
              </w:rPr>
              <w:t xml:space="preserve"> of</w:t>
            </w:r>
            <w:r w:rsidRPr="000F5B47"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t xml:space="preserve">content of the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reviewed in TG-M 20-1 (17.03.2020)</w:t>
            </w:r>
          </w:p>
        </w:tc>
      </w:tr>
      <w:tr w:rsidR="009A7E14" w:rsidRPr="00FC2B13" w14:paraId="20055A23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367D4C7D" w14:textId="7C4734B9" w:rsidR="009A7E14" w:rsidRPr="002163D4" w:rsidRDefault="009A7E14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Next immediate steps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7FEC1C44" w14:textId="4951E6E2" w:rsidR="009A7E14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2"/>
                <w:lang w:val="en-GB"/>
              </w:rPr>
              <w:t xml:space="preserve">Arrange bilateral meetings to improve </w:t>
            </w:r>
            <w:r w:rsidRPr="000F5B47">
              <w:rPr>
                <w:rFonts w:ascii="Georgia" w:hAnsi="Georgia"/>
                <w:sz w:val="18"/>
                <w:szCs w:val="18"/>
              </w:rPr>
              <w:t>“Inventory” and “Common ground”</w:t>
            </w:r>
          </w:p>
        </w:tc>
      </w:tr>
      <w:tr w:rsidR="009A7E14" w:rsidRPr="00FC2B13" w14:paraId="4D1B1399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56B59028" w14:textId="590F9B10" w:rsidR="009A7E14" w:rsidRPr="002163D4" w:rsidRDefault="009A7E14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sz w:val="20"/>
                <w:szCs w:val="20"/>
              </w:rPr>
              <w:t>Key topic: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0078B6" w:themeColor="accent2"/>
            </w:tcBorders>
          </w:tcPr>
          <w:p w14:paraId="0E6829DF" w14:textId="08761417" w:rsidR="009A7E14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</w:t>
            </w:r>
            <w:r w:rsidRPr="009A7E14">
              <w:rPr>
                <w:rFonts w:ascii="Georgia" w:hAnsi="Georgia"/>
                <w:sz w:val="20"/>
                <w:szCs w:val="20"/>
              </w:rPr>
              <w:t xml:space="preserve">oastal flood </w:t>
            </w:r>
            <w:proofErr w:type="spellStart"/>
            <w:r w:rsidRPr="009A7E14">
              <w:rPr>
                <w:rFonts w:ascii="Georgia" w:hAnsi="Georgia"/>
                <w:sz w:val="20"/>
                <w:szCs w:val="20"/>
              </w:rPr>
              <w:t>defence</w:t>
            </w:r>
            <w:proofErr w:type="spellEnd"/>
            <w:r w:rsidRPr="009A7E14">
              <w:rPr>
                <w:rFonts w:ascii="Georgia" w:hAnsi="Georgia"/>
                <w:sz w:val="20"/>
                <w:szCs w:val="20"/>
              </w:rPr>
              <w:t xml:space="preserve"> and protection</w:t>
            </w:r>
          </w:p>
        </w:tc>
      </w:tr>
      <w:tr w:rsidR="009A7E14" w:rsidRPr="00FC2B13" w14:paraId="738C50A2" w14:textId="77777777" w:rsidTr="007829B0">
        <w:tc>
          <w:tcPr>
            <w:tcW w:w="2268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22CBA847" w14:textId="46BC9C83" w:rsidR="009A7E14" w:rsidRPr="002163D4" w:rsidRDefault="009A7E14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7361" w:type="dxa"/>
            <w:tcBorders>
              <w:top w:val="single" w:sz="4" w:space="0" w:color="0078B6" w:themeColor="accent2"/>
              <w:bottom w:val="single" w:sz="4" w:space="0" w:color="D9D9D9" w:themeColor="background1" w:themeShade="D9"/>
            </w:tcBorders>
          </w:tcPr>
          <w:p w14:paraId="7A038182" w14:textId="412F81D1" w:rsidR="009A7E14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EG-C</w:t>
            </w:r>
          </w:p>
        </w:tc>
      </w:tr>
      <w:tr w:rsidR="009A7E14" w:rsidRPr="00FC2B13" w14:paraId="5EF39A6C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FE5328" w14:textId="4CCD366A" w:rsidR="009A7E14" w:rsidRPr="002163D4" w:rsidRDefault="009A7E14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Status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C90C8E" w14:textId="64835DBE" w:rsidR="009A7E14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Partial d</w:t>
            </w:r>
            <w:r w:rsidRPr="000F5B47">
              <w:rPr>
                <w:rFonts w:ascii="Georgia" w:hAnsi="Georgia"/>
                <w:sz w:val="18"/>
                <w:szCs w:val="18"/>
              </w:rPr>
              <w:t>raft</w:t>
            </w:r>
            <w:r>
              <w:rPr>
                <w:rFonts w:ascii="Georgia" w:hAnsi="Georgia"/>
                <w:sz w:val="18"/>
                <w:szCs w:val="18"/>
              </w:rPr>
              <w:t xml:space="preserve"> of</w:t>
            </w:r>
            <w:r w:rsidRPr="000F5B47"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t xml:space="preserve">content of the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to be reviewed at EG-C 5 (12.05.2020)</w:t>
            </w:r>
          </w:p>
        </w:tc>
      </w:tr>
      <w:tr w:rsidR="009A7E14" w:rsidRPr="00FC2B13" w14:paraId="40ACE8FB" w14:textId="77777777" w:rsidTr="007829B0"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4277FE5F" w14:textId="77AD5EC4" w:rsidR="009A7E14" w:rsidRPr="002163D4" w:rsidRDefault="009A7E14" w:rsidP="002163D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jc w:val="right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2163D4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Next immediate steps</w:t>
            </w:r>
          </w:p>
        </w:tc>
        <w:tc>
          <w:tcPr>
            <w:tcW w:w="7361" w:type="dxa"/>
            <w:tcBorders>
              <w:top w:val="single" w:sz="4" w:space="0" w:color="D9D9D9" w:themeColor="background1" w:themeShade="D9"/>
              <w:bottom w:val="single" w:sz="4" w:space="0" w:color="0078B6" w:themeColor="accent2"/>
            </w:tcBorders>
          </w:tcPr>
          <w:p w14:paraId="106653E3" w14:textId="2638FD56" w:rsidR="009A7E14" w:rsidRPr="00FC2B13" w:rsidRDefault="009A7E14" w:rsidP="009A7E14">
            <w:pPr>
              <w:pStyle w:val="Kopfzeile"/>
              <w:tabs>
                <w:tab w:val="clear" w:pos="4703"/>
                <w:tab w:val="clear" w:pos="9406"/>
              </w:tabs>
              <w:spacing w:after="120"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Improve </w:t>
            </w:r>
            <w:r w:rsidRPr="000F5B47">
              <w:rPr>
                <w:rFonts w:ascii="Georgia" w:hAnsi="Georgia"/>
                <w:sz w:val="18"/>
                <w:szCs w:val="18"/>
              </w:rPr>
              <w:t>headings “Inventory” and “Common ground”</w:t>
            </w:r>
            <w:r>
              <w:rPr>
                <w:rFonts w:ascii="Georgia" w:hAnsi="Georgia"/>
                <w:sz w:val="18"/>
                <w:szCs w:val="18"/>
              </w:rPr>
              <w:t xml:space="preserve"> and gather existing information for the other headings of the referential content structure.</w:t>
            </w:r>
          </w:p>
        </w:tc>
      </w:tr>
    </w:tbl>
    <w:p w14:paraId="6F5A7D13" w14:textId="77777777" w:rsidR="007F5F5C" w:rsidRPr="00C133E0" w:rsidRDefault="007F5F5C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11C743EA" w14:textId="487041A6" w:rsidR="00884A64" w:rsidRPr="00C133E0" w:rsidRDefault="00884A64" w:rsidP="009A7E14">
      <w:pPr>
        <w:pStyle w:val="4bodytext"/>
        <w:numPr>
          <w:ilvl w:val="0"/>
          <w:numId w:val="0"/>
        </w:numPr>
        <w:rPr>
          <w:sz w:val="20"/>
        </w:rPr>
      </w:pPr>
    </w:p>
    <w:p w14:paraId="24851AF6" w14:textId="77777777" w:rsidR="00855425" w:rsidRPr="00884A64" w:rsidRDefault="00855425" w:rsidP="006607D8">
      <w:pPr>
        <w:spacing w:after="200" w:line="276" w:lineRule="auto"/>
        <w:rPr>
          <w:sz w:val="22"/>
          <w:szCs w:val="22"/>
        </w:rPr>
      </w:pPr>
    </w:p>
    <w:sectPr w:rsidR="00855425" w:rsidRPr="00884A64" w:rsidSect="00CA6B62">
      <w:headerReference w:type="default" r:id="rId13"/>
      <w:footerReference w:type="default" r:id="rId14"/>
      <w:footerReference w:type="first" r:id="rId15"/>
      <w:pgSz w:w="11907" w:h="16840" w:code="9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8F81D" w14:textId="77777777" w:rsidR="00A875C8" w:rsidRDefault="00A875C8">
      <w:r>
        <w:separator/>
      </w:r>
    </w:p>
  </w:endnote>
  <w:endnote w:type="continuationSeparator" w:id="0">
    <w:p w14:paraId="77BFC8E4" w14:textId="77777777" w:rsidR="00A875C8" w:rsidRDefault="00A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7986" w14:textId="77777777" w:rsidR="00357EE8" w:rsidRPr="003C34F6" w:rsidRDefault="00357EE8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900DEC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1BC3DC41" w14:textId="77777777" w:rsidR="004B0F1F" w:rsidRDefault="004B0F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F67D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0F54308F" wp14:editId="2BD7A116">
          <wp:simplePos x="0" y="0"/>
          <wp:positionH relativeFrom="page">
            <wp:posOffset>0</wp:posOffset>
          </wp:positionH>
          <wp:positionV relativeFrom="page">
            <wp:posOffset>9101470</wp:posOffset>
          </wp:positionV>
          <wp:extent cx="7561580" cy="636905"/>
          <wp:effectExtent l="0" t="0" r="127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A4B993E" wp14:editId="1142A79C">
          <wp:simplePos x="0" y="0"/>
          <wp:positionH relativeFrom="page">
            <wp:posOffset>711835</wp:posOffset>
          </wp:positionH>
          <wp:positionV relativeFrom="page">
            <wp:posOffset>9738995</wp:posOffset>
          </wp:positionV>
          <wp:extent cx="2512695" cy="575945"/>
          <wp:effectExtent l="0" t="0" r="190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D739A" w14:textId="77777777" w:rsidR="00A875C8" w:rsidRDefault="00A875C8">
      <w:r>
        <w:separator/>
      </w:r>
    </w:p>
  </w:footnote>
  <w:footnote w:type="continuationSeparator" w:id="0">
    <w:p w14:paraId="1C41A275" w14:textId="77777777" w:rsidR="00A875C8" w:rsidRDefault="00A8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65A2" w14:textId="0E656EED" w:rsidR="001C042F" w:rsidRDefault="006C0435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30</w:t>
    </w:r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7829B0">
      <w:rPr>
        <w:rFonts w:ascii="Georgia" w:hAnsi="Georgia"/>
        <w:color w:val="808080" w:themeColor="background1" w:themeShade="80"/>
        <w:sz w:val="18"/>
        <w:szCs w:val="18"/>
      </w:rPr>
      <w:t>4</w:t>
    </w:r>
  </w:p>
  <w:p w14:paraId="0328E28E" w14:textId="77777777" w:rsidR="00936E0E" w:rsidRPr="003C34F6" w:rsidRDefault="00936E0E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071A"/>
    <w:multiLevelType w:val="hybridMultilevel"/>
    <w:tmpl w:val="B2B40FDA"/>
    <w:lvl w:ilvl="0" w:tplc="7E7E4C34">
      <w:start w:val="1"/>
      <w:numFmt w:val="bullet"/>
      <w:pStyle w:val="4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0A22"/>
    <w:multiLevelType w:val="hybridMultilevel"/>
    <w:tmpl w:val="A6E2C49E"/>
    <w:lvl w:ilvl="0" w:tplc="0F9C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0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6E90032"/>
    <w:multiLevelType w:val="multilevel"/>
    <w:tmpl w:val="C7B4B6E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6"/>
  </w:num>
  <w:num w:numId="9">
    <w:abstractNumId w:val="9"/>
  </w:num>
  <w:num w:numId="10">
    <w:abstractNumId w:val="8"/>
  </w:num>
  <w:num w:numId="11">
    <w:abstractNumId w:val="18"/>
  </w:num>
  <w:num w:numId="12">
    <w:abstractNumId w:val="5"/>
  </w:num>
  <w:num w:numId="13">
    <w:abstractNumId w:val="20"/>
  </w:num>
  <w:num w:numId="14">
    <w:abstractNumId w:val="1"/>
  </w:num>
  <w:num w:numId="15">
    <w:abstractNumId w:val="13"/>
  </w:num>
  <w:num w:numId="16">
    <w:abstractNumId w:val="19"/>
  </w:num>
  <w:num w:numId="17">
    <w:abstractNumId w:val="2"/>
  </w:num>
  <w:num w:numId="18">
    <w:abstractNumId w:val="10"/>
  </w:num>
  <w:num w:numId="19">
    <w:abstractNumId w:val="14"/>
  </w:num>
  <w:num w:numId="20">
    <w:abstractNumId w:val="7"/>
  </w:num>
  <w:num w:numId="21">
    <w:abstractNumId w:val="3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44B5D"/>
    <w:rsid w:val="00051122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2729C"/>
    <w:rsid w:val="00147A4E"/>
    <w:rsid w:val="0017526A"/>
    <w:rsid w:val="001760DD"/>
    <w:rsid w:val="00193121"/>
    <w:rsid w:val="001B785E"/>
    <w:rsid w:val="001C042F"/>
    <w:rsid w:val="002054A8"/>
    <w:rsid w:val="002108D8"/>
    <w:rsid w:val="00212819"/>
    <w:rsid w:val="002160AA"/>
    <w:rsid w:val="002163D4"/>
    <w:rsid w:val="00227E91"/>
    <w:rsid w:val="00241433"/>
    <w:rsid w:val="00242A26"/>
    <w:rsid w:val="00252FED"/>
    <w:rsid w:val="00254860"/>
    <w:rsid w:val="002A6524"/>
    <w:rsid w:val="002C3B3E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0E2B"/>
    <w:rsid w:val="003F3217"/>
    <w:rsid w:val="0041392A"/>
    <w:rsid w:val="0041642B"/>
    <w:rsid w:val="004634D9"/>
    <w:rsid w:val="00464803"/>
    <w:rsid w:val="0047073F"/>
    <w:rsid w:val="00473646"/>
    <w:rsid w:val="0048039B"/>
    <w:rsid w:val="004811CF"/>
    <w:rsid w:val="0049559C"/>
    <w:rsid w:val="00495F8E"/>
    <w:rsid w:val="004B0F1F"/>
    <w:rsid w:val="004B18F8"/>
    <w:rsid w:val="004F7255"/>
    <w:rsid w:val="0052327A"/>
    <w:rsid w:val="00523334"/>
    <w:rsid w:val="005259C0"/>
    <w:rsid w:val="005507A2"/>
    <w:rsid w:val="005532E6"/>
    <w:rsid w:val="0055335E"/>
    <w:rsid w:val="00566883"/>
    <w:rsid w:val="00576FC0"/>
    <w:rsid w:val="00583932"/>
    <w:rsid w:val="005915E0"/>
    <w:rsid w:val="0059757A"/>
    <w:rsid w:val="005A17D3"/>
    <w:rsid w:val="005A4DCC"/>
    <w:rsid w:val="005B1554"/>
    <w:rsid w:val="005C366D"/>
    <w:rsid w:val="005C4D1E"/>
    <w:rsid w:val="005F18A8"/>
    <w:rsid w:val="005F2743"/>
    <w:rsid w:val="005F586A"/>
    <w:rsid w:val="00615200"/>
    <w:rsid w:val="006264FF"/>
    <w:rsid w:val="006363AB"/>
    <w:rsid w:val="006444C3"/>
    <w:rsid w:val="00646DAB"/>
    <w:rsid w:val="00650ABF"/>
    <w:rsid w:val="006607D8"/>
    <w:rsid w:val="00667D27"/>
    <w:rsid w:val="00682659"/>
    <w:rsid w:val="00697EC8"/>
    <w:rsid w:val="006A0819"/>
    <w:rsid w:val="006B0DAC"/>
    <w:rsid w:val="006B1F5B"/>
    <w:rsid w:val="006C0435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240E0"/>
    <w:rsid w:val="00724801"/>
    <w:rsid w:val="0072516E"/>
    <w:rsid w:val="00754D75"/>
    <w:rsid w:val="007563CD"/>
    <w:rsid w:val="00761403"/>
    <w:rsid w:val="007829B0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7F5F5C"/>
    <w:rsid w:val="008220BC"/>
    <w:rsid w:val="008236A8"/>
    <w:rsid w:val="00824914"/>
    <w:rsid w:val="00840BD4"/>
    <w:rsid w:val="00853159"/>
    <w:rsid w:val="00855425"/>
    <w:rsid w:val="00866659"/>
    <w:rsid w:val="00884A64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00DEC"/>
    <w:rsid w:val="00911BD5"/>
    <w:rsid w:val="009128C7"/>
    <w:rsid w:val="00925EF4"/>
    <w:rsid w:val="00936E0E"/>
    <w:rsid w:val="0094113A"/>
    <w:rsid w:val="00950873"/>
    <w:rsid w:val="009517FA"/>
    <w:rsid w:val="00965C3E"/>
    <w:rsid w:val="009719CA"/>
    <w:rsid w:val="00973022"/>
    <w:rsid w:val="00975C6B"/>
    <w:rsid w:val="00982C8B"/>
    <w:rsid w:val="009A2079"/>
    <w:rsid w:val="009A7E14"/>
    <w:rsid w:val="009B54B3"/>
    <w:rsid w:val="009D01E2"/>
    <w:rsid w:val="009D105B"/>
    <w:rsid w:val="009D6A3D"/>
    <w:rsid w:val="009E6684"/>
    <w:rsid w:val="009E7C2C"/>
    <w:rsid w:val="009F331C"/>
    <w:rsid w:val="00A03187"/>
    <w:rsid w:val="00A1036A"/>
    <w:rsid w:val="00A12765"/>
    <w:rsid w:val="00A13D27"/>
    <w:rsid w:val="00A20BC6"/>
    <w:rsid w:val="00A47D81"/>
    <w:rsid w:val="00A55A4E"/>
    <w:rsid w:val="00A80F47"/>
    <w:rsid w:val="00A8235D"/>
    <w:rsid w:val="00A86C28"/>
    <w:rsid w:val="00A875C8"/>
    <w:rsid w:val="00A915FB"/>
    <w:rsid w:val="00A97A92"/>
    <w:rsid w:val="00AA773C"/>
    <w:rsid w:val="00AC2926"/>
    <w:rsid w:val="00AE651C"/>
    <w:rsid w:val="00AF263A"/>
    <w:rsid w:val="00B07A4C"/>
    <w:rsid w:val="00B1013D"/>
    <w:rsid w:val="00B1024D"/>
    <w:rsid w:val="00B15106"/>
    <w:rsid w:val="00B45E4C"/>
    <w:rsid w:val="00B467E2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4531"/>
    <w:rsid w:val="00BE4BF3"/>
    <w:rsid w:val="00C066DF"/>
    <w:rsid w:val="00C133E0"/>
    <w:rsid w:val="00C15340"/>
    <w:rsid w:val="00C23468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3FEC"/>
    <w:rsid w:val="00CA4F12"/>
    <w:rsid w:val="00CA6B62"/>
    <w:rsid w:val="00CB0F49"/>
    <w:rsid w:val="00CD0E99"/>
    <w:rsid w:val="00CE4943"/>
    <w:rsid w:val="00D02CC2"/>
    <w:rsid w:val="00D045F6"/>
    <w:rsid w:val="00D04A2E"/>
    <w:rsid w:val="00D06D60"/>
    <w:rsid w:val="00D10487"/>
    <w:rsid w:val="00D37A59"/>
    <w:rsid w:val="00D541BC"/>
    <w:rsid w:val="00D714D5"/>
    <w:rsid w:val="00D71C4A"/>
    <w:rsid w:val="00D77486"/>
    <w:rsid w:val="00D82250"/>
    <w:rsid w:val="00D84EB0"/>
    <w:rsid w:val="00D90053"/>
    <w:rsid w:val="00DA566F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F05116"/>
    <w:rsid w:val="00F1197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2B13"/>
    <w:rsid w:val="00FC4DEB"/>
    <w:rsid w:val="00FC6BEB"/>
    <w:rsid w:val="00FD14F5"/>
    <w:rsid w:val="00FE558C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C44B7CF"/>
  <w15:docId w15:val="{BE04BB82-B813-4966-B473-861BDA8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  <w:style w:type="paragraph" w:customStyle="1" w:styleId="4bodytext">
    <w:name w:val="4_body text"/>
    <w:basedOn w:val="Standard"/>
    <w:qFormat/>
    <w:rsid w:val="006C0435"/>
    <w:pPr>
      <w:numPr>
        <w:numId w:val="21"/>
      </w:numPr>
      <w:spacing w:after="170" w:line="340" w:lineRule="exact"/>
    </w:pPr>
    <w:rPr>
      <w:rFonts w:ascii="Georgia" w:eastAsiaTheme="minorEastAsia" w:hAnsi="Georgia" w:cs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ddensea-worldheritage.org/system/files/SIMP%20joint%20meeting_summary%20recor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ddensea-secretariat.org/sites/default/files/Meeting_Documents/WSB/WSB29/wsb-29-5-1-1-simp_status_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addensea-worldheritage.org/sites/default/files/WSB30%205.1-2%20simp%20status%20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ddensea-secretariat.org/sites/default/files/Meeting_Documents/WSB/WSB28/wsb-28-5-1-2-status_report_simp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E3D8A-0ACD-41D1-99DC-D627D657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 Jong</dc:creator>
  <cp:lastModifiedBy>Soledad Luna</cp:lastModifiedBy>
  <cp:revision>2</cp:revision>
  <cp:lastPrinted>2013-09-25T14:30:00Z</cp:lastPrinted>
  <dcterms:created xsi:type="dcterms:W3CDTF">2020-04-17T14:23:00Z</dcterms:created>
  <dcterms:modified xsi:type="dcterms:W3CDTF">2020-04-17T14:23:00Z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