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A2655" w14:textId="2EF8703C" w:rsidR="00D261D1" w:rsidRDefault="00D261D1" w:rsidP="00D261D1">
      <w:pPr>
        <w:pStyle w:val="1Sectiontitles"/>
        <w:numPr>
          <w:ilvl w:val="0"/>
          <w:numId w:val="5"/>
        </w:numPr>
        <w:ind w:left="1080" w:hanging="720"/>
        <w:outlineLvl w:val="0"/>
      </w:pPr>
      <w:bookmarkStart w:id="0" w:name="_Toc47093211"/>
      <w:proofErr w:type="spellStart"/>
      <w:r>
        <w:t>Mechanisms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support </w:t>
      </w:r>
      <w:proofErr w:type="spellStart"/>
      <w:r>
        <w:t>management</w:t>
      </w:r>
      <w:proofErr w:type="spellEnd"/>
    </w:p>
    <w:p w14:paraId="510C516C" w14:textId="6598ABF1" w:rsidR="00E82FA3" w:rsidRDefault="00E82FA3" w:rsidP="00D261D1">
      <w:pPr>
        <w:pStyle w:val="2sub-sections"/>
        <w:numPr>
          <w:ilvl w:val="1"/>
          <w:numId w:val="5"/>
        </w:numPr>
        <w:outlineLvl w:val="1"/>
      </w:pPr>
      <w:r>
        <w:t>Partnership</w:t>
      </w:r>
      <w:bookmarkEnd w:id="0"/>
      <w:r>
        <w:t xml:space="preserve"> </w:t>
      </w:r>
      <w:r w:rsidR="005C6148">
        <w:rPr>
          <w:rFonts w:ascii="Georgia" w:hAnsi="Georgia"/>
          <w:b w:val="0"/>
          <w:i/>
          <w:sz w:val="22"/>
          <w:szCs w:val="22"/>
        </w:rPr>
        <w:t xml:space="preserve">(548 </w:t>
      </w:r>
      <w:r w:rsidRPr="00E82FA3">
        <w:rPr>
          <w:rFonts w:ascii="Georgia" w:hAnsi="Georgia"/>
          <w:b w:val="0"/>
          <w:i/>
          <w:sz w:val="22"/>
          <w:szCs w:val="22"/>
        </w:rPr>
        <w:t>words)</w:t>
      </w:r>
    </w:p>
    <w:p w14:paraId="609C75B2" w14:textId="28B52A89" w:rsidR="0015140E" w:rsidRPr="00C313F2" w:rsidRDefault="004A1D1C" w:rsidP="00C313F2">
      <w:pPr>
        <w:spacing w:after="0" w:line="276" w:lineRule="auto"/>
        <w:ind w:left="360"/>
        <w:rPr>
          <w:rFonts w:ascii="Georgia" w:hAnsi="Georgia" w:cs="Times New Roman"/>
          <w:lang w:val="en-GB"/>
        </w:rPr>
      </w:pPr>
      <w:r w:rsidRPr="00C313F2">
        <w:rPr>
          <w:rFonts w:ascii="Georgia" w:hAnsi="Georgia" w:cs="Times New Roman"/>
          <w:lang w:val="en-GB"/>
        </w:rPr>
        <w:t xml:space="preserve">The inscription of the </w:t>
      </w:r>
      <w:proofErr w:type="spellStart"/>
      <w:r w:rsidRPr="00C313F2">
        <w:rPr>
          <w:rFonts w:ascii="Georgia" w:hAnsi="Georgia" w:cs="Times New Roman"/>
          <w:lang w:val="en-GB"/>
        </w:rPr>
        <w:t>Wadden</w:t>
      </w:r>
      <w:proofErr w:type="spellEnd"/>
      <w:r w:rsidRPr="00C313F2">
        <w:rPr>
          <w:rFonts w:ascii="Georgia" w:hAnsi="Georgia" w:cs="Times New Roman"/>
          <w:lang w:val="en-GB"/>
        </w:rPr>
        <w:t xml:space="preserve"> Sea on the World Heritage List </w:t>
      </w:r>
      <w:r w:rsidR="00BC4B41">
        <w:rPr>
          <w:rFonts w:ascii="Georgia" w:hAnsi="Georgia" w:cs="Times New Roman"/>
          <w:lang w:val="en-GB"/>
        </w:rPr>
        <w:t>represents</w:t>
      </w:r>
      <w:r w:rsidRPr="00C313F2">
        <w:rPr>
          <w:rFonts w:ascii="Georgia" w:hAnsi="Georgia" w:cs="Times New Roman"/>
          <w:lang w:val="en-GB"/>
        </w:rPr>
        <w:t xml:space="preserve"> a unique opportunity to pool and strengthen existing skills and experiences under one umbrella, to ensure protection and preservation of the </w:t>
      </w:r>
      <w:proofErr w:type="spellStart"/>
      <w:r w:rsidRPr="00C313F2">
        <w:rPr>
          <w:rFonts w:ascii="Georgia" w:hAnsi="Georgia" w:cs="Times New Roman"/>
          <w:lang w:val="en-GB"/>
        </w:rPr>
        <w:t>Wadden</w:t>
      </w:r>
      <w:proofErr w:type="spellEnd"/>
      <w:r w:rsidRPr="00C313F2">
        <w:rPr>
          <w:rFonts w:ascii="Georgia" w:hAnsi="Georgia" w:cs="Times New Roman"/>
          <w:lang w:val="en-GB"/>
        </w:rPr>
        <w:t xml:space="preserve"> Sea, whilst</w:t>
      </w:r>
      <w:r w:rsidR="00911273">
        <w:rPr>
          <w:rFonts w:ascii="Georgia" w:hAnsi="Georgia" w:cs="Times New Roman"/>
          <w:lang w:val="en-GB"/>
        </w:rPr>
        <w:t xml:space="preserve"> continuing to </w:t>
      </w:r>
      <w:r w:rsidRPr="00C313F2">
        <w:rPr>
          <w:rFonts w:ascii="Georgia" w:hAnsi="Georgia" w:cs="Times New Roman"/>
          <w:lang w:val="en-GB"/>
        </w:rPr>
        <w:t xml:space="preserve"> foster sustainable regional development within the entire </w:t>
      </w:r>
      <w:proofErr w:type="spellStart"/>
      <w:r w:rsidRPr="00C313F2">
        <w:rPr>
          <w:rFonts w:ascii="Georgia" w:hAnsi="Georgia" w:cs="Times New Roman"/>
          <w:lang w:val="en-GB"/>
        </w:rPr>
        <w:t>Wadden</w:t>
      </w:r>
      <w:proofErr w:type="spellEnd"/>
      <w:r w:rsidRPr="00C313F2">
        <w:rPr>
          <w:rFonts w:ascii="Georgia" w:hAnsi="Georgia" w:cs="Times New Roman"/>
          <w:lang w:val="en-GB"/>
        </w:rPr>
        <w:t xml:space="preserve"> Sea Region</w:t>
      </w:r>
      <w:r w:rsidR="005C6148">
        <w:rPr>
          <w:rFonts w:ascii="Georgia" w:hAnsi="Georgia" w:cs="Times New Roman"/>
          <w:lang w:val="en-GB"/>
        </w:rPr>
        <w:t>.</w:t>
      </w:r>
      <w:r w:rsidRPr="00C313F2">
        <w:rPr>
          <w:rFonts w:ascii="Georgia" w:hAnsi="Georgia" w:cs="Times New Roman"/>
          <w:lang w:val="en-GB"/>
        </w:rPr>
        <w:t xml:space="preserve"> Only if these skills and experiences are jointly  and mutually reinforced and linked </w:t>
      </w:r>
      <w:r w:rsidR="00F23E7E">
        <w:rPr>
          <w:rFonts w:ascii="Georgia" w:hAnsi="Georgia" w:cs="Times New Roman"/>
          <w:lang w:val="en-GB"/>
        </w:rPr>
        <w:t xml:space="preserve">by </w:t>
      </w:r>
      <w:r w:rsidRPr="00C313F2">
        <w:rPr>
          <w:rFonts w:ascii="Georgia" w:hAnsi="Georgia" w:cs="Times New Roman"/>
          <w:lang w:val="en-GB"/>
        </w:rPr>
        <w:t xml:space="preserve">a high-quality level </w:t>
      </w:r>
      <w:r w:rsidR="00381A51">
        <w:rPr>
          <w:rFonts w:ascii="Georgia" w:hAnsi="Georgia" w:cs="Times New Roman"/>
          <w:lang w:val="en-GB"/>
        </w:rPr>
        <w:t>of collaboration and engagement of actors and society in</w:t>
      </w:r>
      <w:r w:rsidRPr="00C313F2">
        <w:rPr>
          <w:rFonts w:ascii="Georgia" w:hAnsi="Georgia" w:cs="Times New Roman"/>
          <w:lang w:val="en-GB"/>
        </w:rPr>
        <w:t xml:space="preserve"> the </w:t>
      </w:r>
      <w:proofErr w:type="spellStart"/>
      <w:r w:rsidRPr="00C313F2">
        <w:rPr>
          <w:rFonts w:ascii="Georgia" w:hAnsi="Georgia" w:cs="Times New Roman"/>
          <w:lang w:val="en-GB"/>
        </w:rPr>
        <w:t>Wadden</w:t>
      </w:r>
      <w:proofErr w:type="spellEnd"/>
      <w:r w:rsidRPr="00C313F2">
        <w:rPr>
          <w:rFonts w:ascii="Georgia" w:hAnsi="Georgia" w:cs="Times New Roman"/>
          <w:lang w:val="en-GB"/>
        </w:rPr>
        <w:t xml:space="preserve"> Sea Region, will the full potential of the World Heritage designation be achieved for the benefit of nature, but also for</w:t>
      </w:r>
      <w:r w:rsidR="00056C3E">
        <w:rPr>
          <w:rFonts w:ascii="Georgia" w:hAnsi="Georgia" w:cs="Times New Roman"/>
          <w:lang w:val="en-GB"/>
        </w:rPr>
        <w:t xml:space="preserve"> the</w:t>
      </w:r>
      <w:r w:rsidRPr="00C313F2">
        <w:rPr>
          <w:rFonts w:ascii="Georgia" w:hAnsi="Georgia" w:cs="Times New Roman"/>
          <w:lang w:val="en-GB"/>
        </w:rPr>
        <w:t xml:space="preserve"> society. </w:t>
      </w:r>
      <w:r w:rsidR="00796D12" w:rsidRPr="00C313F2">
        <w:rPr>
          <w:rFonts w:ascii="Georgia" w:hAnsi="Georgia" w:cs="Times New Roman"/>
          <w:lang w:val="en-GB"/>
        </w:rPr>
        <w:t xml:space="preserve"> </w:t>
      </w:r>
    </w:p>
    <w:p w14:paraId="27A4654D" w14:textId="00ADAD6D" w:rsidR="00F439F2" w:rsidRDefault="00F439F2" w:rsidP="00C313F2">
      <w:pPr>
        <w:spacing w:after="0" w:line="276" w:lineRule="auto"/>
        <w:ind w:left="360"/>
        <w:rPr>
          <w:rFonts w:ascii="Georgia" w:eastAsia="Batang" w:hAnsi="Georgia" w:cs="Times New Roman"/>
          <w:lang w:val="en-GB" w:eastAsia="ko-KR"/>
        </w:rPr>
      </w:pPr>
    </w:p>
    <w:p w14:paraId="6D5C2938" w14:textId="4FECB36D" w:rsidR="00E82FA3" w:rsidRPr="00C313F2" w:rsidRDefault="00796D12" w:rsidP="008E4806">
      <w:pPr>
        <w:spacing w:after="0" w:line="276" w:lineRule="auto"/>
        <w:ind w:left="360"/>
        <w:rPr>
          <w:rFonts w:ascii="Georgia" w:eastAsia="Batang" w:hAnsi="Georgia" w:cs="Times New Roman"/>
          <w:lang w:val="en-GB" w:eastAsia="ko-KR"/>
        </w:rPr>
      </w:pPr>
      <w:r w:rsidRPr="00C313F2">
        <w:rPr>
          <w:rFonts w:ascii="Georgia" w:eastAsia="Batang" w:hAnsi="Georgia" w:cs="Times New Roman"/>
          <w:lang w:val="en-GB" w:eastAsia="ko-KR"/>
        </w:rPr>
        <w:t xml:space="preserve">To </w:t>
      </w:r>
      <w:r w:rsidR="00077F63" w:rsidRPr="00C313F2">
        <w:rPr>
          <w:rFonts w:ascii="Georgia" w:eastAsia="Batang" w:hAnsi="Georgia" w:cs="Times New Roman"/>
          <w:lang w:val="en-GB" w:eastAsia="ko-KR"/>
        </w:rPr>
        <w:t xml:space="preserve">realize </w:t>
      </w:r>
      <w:r w:rsidR="007B7A93">
        <w:rPr>
          <w:rFonts w:ascii="Georgia" w:eastAsia="Batang" w:hAnsi="Georgia" w:cs="Times New Roman"/>
          <w:lang w:val="en-GB" w:eastAsia="ko-KR"/>
        </w:rPr>
        <w:t xml:space="preserve">such a </w:t>
      </w:r>
      <w:r w:rsidR="00FE37F1" w:rsidRPr="00C313F2">
        <w:rPr>
          <w:rFonts w:ascii="Georgia" w:eastAsia="Batang" w:hAnsi="Georgia" w:cs="Times New Roman"/>
          <w:lang w:val="en-GB" w:eastAsia="ko-KR"/>
        </w:rPr>
        <w:t>practic</w:t>
      </w:r>
      <w:r w:rsidR="00381A51">
        <w:rPr>
          <w:rFonts w:ascii="Georgia" w:eastAsia="Batang" w:hAnsi="Georgia" w:cs="Times New Roman"/>
          <w:lang w:val="en-GB" w:eastAsia="ko-KR"/>
        </w:rPr>
        <w:t>al engagement</w:t>
      </w:r>
      <w:r w:rsidRPr="00C313F2">
        <w:rPr>
          <w:rFonts w:ascii="Georgia" w:eastAsia="Batang" w:hAnsi="Georgia" w:cs="Times New Roman"/>
          <w:lang w:val="en-GB" w:eastAsia="ko-KR"/>
        </w:rPr>
        <w:t xml:space="preserve">, </w:t>
      </w:r>
      <w:r w:rsidR="00381A51" w:rsidRPr="00C313F2">
        <w:rPr>
          <w:rFonts w:ascii="Georgia" w:eastAsia="Batang" w:hAnsi="Georgia" w:cs="Times New Roman"/>
          <w:lang w:val="en-GB" w:eastAsia="ko-KR"/>
        </w:rPr>
        <w:t xml:space="preserve">a Memorandum of Understanding </w:t>
      </w:r>
      <w:r w:rsidR="00381A51">
        <w:rPr>
          <w:rFonts w:ascii="Georgia" w:eastAsia="Batang" w:hAnsi="Georgia" w:cs="Times New Roman"/>
          <w:lang w:val="en-GB" w:eastAsia="ko-KR"/>
        </w:rPr>
        <w:t xml:space="preserve">was officially signed at the </w:t>
      </w:r>
      <w:r w:rsidR="00381A51" w:rsidRPr="00C313F2">
        <w:rPr>
          <w:rFonts w:ascii="Georgia" w:eastAsia="Batang" w:hAnsi="Georgia" w:cs="Times New Roman"/>
          <w:lang w:val="en-GB" w:eastAsia="ko-KR"/>
        </w:rPr>
        <w:t>10</w:t>
      </w:r>
      <w:r w:rsidR="00381A51" w:rsidRPr="00C313F2">
        <w:rPr>
          <w:rFonts w:ascii="Georgia" w:eastAsia="Batang" w:hAnsi="Georgia" w:cs="Times New Roman"/>
          <w:vertAlign w:val="superscript"/>
          <w:lang w:val="en-GB" w:eastAsia="ko-KR"/>
        </w:rPr>
        <w:t>th</w:t>
      </w:r>
      <w:r w:rsidR="00381A51" w:rsidRPr="00C313F2">
        <w:rPr>
          <w:rFonts w:ascii="Georgia" w:eastAsia="Batang" w:hAnsi="Georgia" w:cs="Times New Roman"/>
          <w:lang w:val="en-GB" w:eastAsia="ko-KR"/>
        </w:rPr>
        <w:t xml:space="preserve"> anniversary of the inscription</w:t>
      </w:r>
      <w:r w:rsidR="00381A51">
        <w:rPr>
          <w:rFonts w:ascii="Georgia" w:eastAsia="Batang" w:hAnsi="Georgia" w:cs="Times New Roman"/>
          <w:lang w:val="en-GB" w:eastAsia="ko-KR"/>
        </w:rPr>
        <w:t xml:space="preserve"> of the World Heritage </w:t>
      </w:r>
      <w:proofErr w:type="spellStart"/>
      <w:r w:rsidR="00381A51">
        <w:rPr>
          <w:rFonts w:ascii="Georgia" w:eastAsia="Batang" w:hAnsi="Georgia" w:cs="Times New Roman"/>
          <w:lang w:val="en-GB" w:eastAsia="ko-KR"/>
        </w:rPr>
        <w:t>Wadden</w:t>
      </w:r>
      <w:proofErr w:type="spellEnd"/>
      <w:r w:rsidR="00381A51">
        <w:rPr>
          <w:rFonts w:ascii="Georgia" w:eastAsia="Batang" w:hAnsi="Georgia" w:cs="Times New Roman"/>
          <w:lang w:val="en-GB" w:eastAsia="ko-KR"/>
        </w:rPr>
        <w:t xml:space="preserve"> Sea in</w:t>
      </w:r>
      <w:r w:rsidR="00381A51" w:rsidRPr="00C313F2">
        <w:rPr>
          <w:rFonts w:ascii="Georgia" w:eastAsia="Batang" w:hAnsi="Georgia" w:cs="Times New Roman"/>
          <w:lang w:val="en-GB" w:eastAsia="ko-KR"/>
        </w:rPr>
        <w:t xml:space="preserve"> June 2019</w:t>
      </w:r>
      <w:r w:rsidR="00381A51">
        <w:rPr>
          <w:rFonts w:ascii="Georgia" w:eastAsia="Batang" w:hAnsi="Georgia" w:cs="Times New Roman"/>
          <w:lang w:val="en-GB" w:eastAsia="ko-KR"/>
        </w:rPr>
        <w:t>, in Wilhelmshaven.</w:t>
      </w:r>
      <w:r w:rsidR="007B7A93">
        <w:rPr>
          <w:rFonts w:ascii="Georgia" w:eastAsia="Batang" w:hAnsi="Georgia" w:cs="Times New Roman"/>
          <w:lang w:val="en-GB" w:eastAsia="ko-KR"/>
        </w:rPr>
        <w:t xml:space="preserve"> The signatories </w:t>
      </w:r>
      <w:r w:rsidRPr="00C313F2">
        <w:rPr>
          <w:rFonts w:ascii="Georgia" w:eastAsia="Batang" w:hAnsi="Georgia" w:cs="Times New Roman"/>
          <w:lang w:val="en-GB" w:eastAsia="ko-KR"/>
        </w:rPr>
        <w:t xml:space="preserve">of </w:t>
      </w:r>
      <w:r w:rsidR="004F3E0B" w:rsidRPr="00C313F2">
        <w:rPr>
          <w:rFonts w:ascii="Georgia" w:eastAsia="Batang" w:hAnsi="Georgia" w:cs="Times New Roman"/>
          <w:lang w:val="en-GB" w:eastAsia="ko-KR"/>
        </w:rPr>
        <w:t xml:space="preserve">trilateral </w:t>
      </w:r>
      <w:r w:rsidRPr="00C313F2">
        <w:rPr>
          <w:rFonts w:ascii="Georgia" w:eastAsia="Batang" w:hAnsi="Georgia" w:cs="Times New Roman"/>
          <w:lang w:val="en-GB" w:eastAsia="ko-KR"/>
        </w:rPr>
        <w:t>strategic partner</w:t>
      </w:r>
      <w:r w:rsidR="00381A51">
        <w:rPr>
          <w:rFonts w:ascii="Georgia" w:eastAsia="Batang" w:hAnsi="Georgia" w:cs="Times New Roman"/>
          <w:lang w:val="en-GB" w:eastAsia="ko-KR"/>
        </w:rPr>
        <w:t xml:space="preserve">s </w:t>
      </w:r>
      <w:r w:rsidR="007B7A93">
        <w:rPr>
          <w:rFonts w:ascii="Georgia" w:eastAsia="Batang" w:hAnsi="Georgia" w:cs="Times New Roman"/>
          <w:lang w:val="en-GB" w:eastAsia="ko-KR"/>
        </w:rPr>
        <w:t>were</w:t>
      </w:r>
      <w:r w:rsidR="00CD16E4">
        <w:rPr>
          <w:rFonts w:ascii="Georgia" w:eastAsia="Batang" w:hAnsi="Georgia" w:cs="Times New Roman"/>
          <w:lang w:val="en-GB" w:eastAsia="ko-KR"/>
        </w:rPr>
        <w:t>:</w:t>
      </w:r>
      <w:r w:rsidR="007B7A93">
        <w:rPr>
          <w:rFonts w:ascii="Georgia" w:eastAsia="Batang" w:hAnsi="Georgia" w:cs="Times New Roman"/>
          <w:lang w:val="en-GB" w:eastAsia="ko-KR"/>
        </w:rPr>
        <w:t xml:space="preserve"> </w:t>
      </w:r>
      <w:r w:rsidRPr="00C313F2">
        <w:rPr>
          <w:rFonts w:ascii="Georgia" w:eastAsia="Batang" w:hAnsi="Georgia" w:cs="Times New Roman"/>
          <w:lang w:val="en-GB" w:eastAsia="ko-KR"/>
        </w:rPr>
        <w:t xml:space="preserve">the </w:t>
      </w:r>
      <w:proofErr w:type="spellStart"/>
      <w:r w:rsidRPr="00C313F2">
        <w:rPr>
          <w:rFonts w:ascii="Georgia" w:eastAsia="Batang" w:hAnsi="Georgia" w:cs="Times New Roman"/>
          <w:lang w:val="en-GB" w:eastAsia="ko-KR"/>
        </w:rPr>
        <w:t>Wadden</w:t>
      </w:r>
      <w:proofErr w:type="spellEnd"/>
      <w:r w:rsidRPr="00C313F2">
        <w:rPr>
          <w:rFonts w:ascii="Georgia" w:eastAsia="Batang" w:hAnsi="Georgia" w:cs="Times New Roman"/>
          <w:lang w:val="en-GB" w:eastAsia="ko-KR"/>
        </w:rPr>
        <w:t xml:space="preserve"> Sea Forum e. V.</w:t>
      </w:r>
      <w:r w:rsidR="007B7A93">
        <w:rPr>
          <w:rFonts w:ascii="Georgia" w:eastAsia="Batang" w:hAnsi="Georgia" w:cs="Times New Roman"/>
          <w:lang w:val="en-GB" w:eastAsia="ko-KR"/>
        </w:rPr>
        <w:t xml:space="preserve">, </w:t>
      </w:r>
      <w:r w:rsidRPr="00C313F2">
        <w:rPr>
          <w:rFonts w:ascii="Georgia" w:eastAsia="Batang" w:hAnsi="Georgia" w:cs="Times New Roman"/>
          <w:lang w:val="en-GB" w:eastAsia="ko-KR"/>
        </w:rPr>
        <w:t xml:space="preserve">the </w:t>
      </w:r>
      <w:proofErr w:type="spellStart"/>
      <w:r w:rsidRPr="00C313F2">
        <w:rPr>
          <w:rFonts w:ascii="Georgia" w:eastAsia="Batang" w:hAnsi="Georgia" w:cs="Times New Roman"/>
          <w:lang w:val="en-GB" w:eastAsia="ko-KR"/>
        </w:rPr>
        <w:t>Wadden</w:t>
      </w:r>
      <w:proofErr w:type="spellEnd"/>
      <w:r w:rsidRPr="00C313F2">
        <w:rPr>
          <w:rFonts w:ascii="Georgia" w:eastAsia="Batang" w:hAnsi="Georgia" w:cs="Times New Roman"/>
          <w:lang w:val="en-GB" w:eastAsia="ko-KR"/>
        </w:rPr>
        <w:t xml:space="preserve"> Sea Team of green NGOS, the trilateral Network Group Sustainable Tourism, the trilateral science community and the TWSC</w:t>
      </w:r>
      <w:r w:rsidR="007B7A93">
        <w:rPr>
          <w:rFonts w:ascii="Georgia" w:eastAsia="Batang" w:hAnsi="Georgia" w:cs="Times New Roman"/>
          <w:lang w:val="en-GB" w:eastAsia="ko-KR"/>
        </w:rPr>
        <w:t xml:space="preserve">. Their objective is to </w:t>
      </w:r>
      <w:r w:rsidR="00056C3E">
        <w:rPr>
          <w:rFonts w:ascii="Georgia" w:eastAsia="Batang" w:hAnsi="Georgia" w:cs="Times New Roman"/>
          <w:lang w:val="en-GB" w:eastAsia="ko-KR"/>
        </w:rPr>
        <w:t>establish</w:t>
      </w:r>
      <w:r w:rsidRPr="00C313F2">
        <w:rPr>
          <w:rFonts w:ascii="Georgia" w:eastAsia="Batang" w:hAnsi="Georgia" w:cs="Times New Roman"/>
          <w:lang w:val="en-GB" w:eastAsia="ko-KR"/>
        </w:rPr>
        <w:t xml:space="preserve"> </w:t>
      </w:r>
      <w:r w:rsidR="007B7A93">
        <w:rPr>
          <w:rFonts w:ascii="Georgia" w:eastAsia="Batang" w:hAnsi="Georgia" w:cs="Times New Roman"/>
          <w:lang w:val="en-GB" w:eastAsia="ko-KR"/>
        </w:rPr>
        <w:t xml:space="preserve">jointly </w:t>
      </w:r>
      <w:r w:rsidRPr="00C313F2">
        <w:rPr>
          <w:rFonts w:ascii="Georgia" w:eastAsia="Batang" w:hAnsi="Georgia" w:cs="Times New Roman"/>
          <w:lang w:val="en-GB" w:eastAsia="ko-KR"/>
        </w:rPr>
        <w:t xml:space="preserve">the multi-stakeholder “Trilateral Partnership in support of the UNESCO </w:t>
      </w:r>
      <w:proofErr w:type="spellStart"/>
      <w:r w:rsidRPr="00C313F2">
        <w:rPr>
          <w:rFonts w:ascii="Georgia" w:eastAsia="Batang" w:hAnsi="Georgia" w:cs="Times New Roman"/>
          <w:lang w:val="en-GB" w:eastAsia="ko-KR"/>
        </w:rPr>
        <w:t>Wadden</w:t>
      </w:r>
      <w:proofErr w:type="spellEnd"/>
      <w:r w:rsidRPr="00C313F2">
        <w:rPr>
          <w:rFonts w:ascii="Georgia" w:eastAsia="Batang" w:hAnsi="Georgia" w:cs="Times New Roman"/>
          <w:lang w:val="en-GB" w:eastAsia="ko-KR"/>
        </w:rPr>
        <w:t xml:space="preserve"> Sea World Heritage” (</w:t>
      </w:r>
      <w:r w:rsidRPr="00C313F2">
        <w:rPr>
          <w:rFonts w:ascii="Georgia" w:eastAsia="Batang" w:hAnsi="Georgia" w:cs="Times New Roman"/>
          <w:i/>
          <w:lang w:val="en-GB" w:eastAsia="ko-KR"/>
        </w:rPr>
        <w:t>in short: Trilateral WH Partnership</w:t>
      </w:r>
      <w:r w:rsidRPr="00C313F2">
        <w:rPr>
          <w:rFonts w:ascii="Georgia" w:eastAsia="Batang" w:hAnsi="Georgia" w:cs="Times New Roman"/>
          <w:lang w:val="en-GB" w:eastAsia="ko-KR"/>
        </w:rPr>
        <w:t>)</w:t>
      </w:r>
      <w:r w:rsidR="00381A51">
        <w:rPr>
          <w:rFonts w:ascii="Georgia" w:eastAsia="Batang" w:hAnsi="Georgia" w:cs="Times New Roman"/>
          <w:lang w:val="en-GB" w:eastAsia="ko-KR"/>
        </w:rPr>
        <w:t xml:space="preserve">. </w:t>
      </w:r>
      <w:r w:rsidR="00FE37F1" w:rsidRPr="00C313F2">
        <w:rPr>
          <w:rFonts w:ascii="Georgia" w:hAnsi="Georgia"/>
          <w:lang w:val="en-GB" w:eastAsia="de-DE"/>
        </w:rPr>
        <w:t>The initiative aims to enhance ownership</w:t>
      </w:r>
      <w:r w:rsidR="00F439F2">
        <w:rPr>
          <w:rFonts w:ascii="Georgia" w:hAnsi="Georgia"/>
          <w:lang w:val="en-GB" w:eastAsia="de-DE"/>
        </w:rPr>
        <w:t xml:space="preserve"> </w:t>
      </w:r>
      <w:r w:rsidR="00056C3E">
        <w:rPr>
          <w:rFonts w:ascii="Georgia" w:hAnsi="Georgia"/>
          <w:lang w:val="en-GB" w:eastAsia="de-DE"/>
        </w:rPr>
        <w:t>for</w:t>
      </w:r>
      <w:r w:rsidR="00F439F2">
        <w:rPr>
          <w:rFonts w:ascii="Georgia" w:hAnsi="Georgia"/>
          <w:lang w:val="en-GB" w:eastAsia="de-DE"/>
        </w:rPr>
        <w:t xml:space="preserve"> the </w:t>
      </w:r>
      <w:proofErr w:type="spellStart"/>
      <w:r w:rsidR="00F439F2">
        <w:rPr>
          <w:rFonts w:ascii="Georgia" w:hAnsi="Georgia"/>
          <w:lang w:val="en-GB" w:eastAsia="de-DE"/>
        </w:rPr>
        <w:t>Wadden</w:t>
      </w:r>
      <w:proofErr w:type="spellEnd"/>
      <w:r w:rsidR="00F439F2">
        <w:rPr>
          <w:rFonts w:ascii="Georgia" w:hAnsi="Georgia"/>
          <w:lang w:val="en-GB" w:eastAsia="de-DE"/>
        </w:rPr>
        <w:t xml:space="preserve"> Sea World Heritage </w:t>
      </w:r>
      <w:r w:rsidR="00FE37F1" w:rsidRPr="00C313F2">
        <w:rPr>
          <w:rFonts w:ascii="Georgia" w:hAnsi="Georgia"/>
          <w:lang w:val="en-GB" w:eastAsia="de-DE"/>
        </w:rPr>
        <w:t xml:space="preserve"> and to build an extended and stable, multi-level and cross-border community in a networking approach, complementing governmental and intergovernmental efforts in delivering on the goals of the WSWH strategy/ </w:t>
      </w:r>
      <w:r w:rsidR="00FE37F1" w:rsidRPr="00C313F2">
        <w:rPr>
          <w:rFonts w:ascii="Georgia" w:hAnsi="Georgia"/>
          <w:i/>
          <w:color w:val="808080" w:themeColor="background1" w:themeShade="80"/>
          <w:lang w:val="en-GB" w:eastAsia="de-DE"/>
        </w:rPr>
        <w:t xml:space="preserve">the </w:t>
      </w:r>
      <w:r w:rsidR="00C313F2" w:rsidRPr="00C313F2">
        <w:rPr>
          <w:rFonts w:ascii="Georgia" w:hAnsi="Georgia"/>
          <w:i/>
          <w:color w:val="808080" w:themeColor="background1" w:themeShade="80"/>
          <w:lang w:val="en-GB" w:eastAsia="de-DE"/>
        </w:rPr>
        <w:t>WSWH management plan (to be discussed</w:t>
      </w:r>
      <w:r w:rsidR="00C313F2">
        <w:rPr>
          <w:rFonts w:ascii="Georgia" w:hAnsi="Georgia"/>
          <w:i/>
          <w:color w:val="808080" w:themeColor="background1" w:themeShade="80"/>
          <w:lang w:val="en-GB" w:eastAsia="de-DE"/>
        </w:rPr>
        <w:t xml:space="preserve"> among partners </w:t>
      </w:r>
      <w:r w:rsidR="00FE37F1" w:rsidRPr="00C313F2">
        <w:rPr>
          <w:rFonts w:ascii="Georgia" w:hAnsi="Georgia"/>
          <w:i/>
          <w:color w:val="808080" w:themeColor="background1" w:themeShade="80"/>
          <w:lang w:val="en-GB" w:eastAsia="de-DE"/>
        </w:rPr>
        <w:t xml:space="preserve"> later, once the </w:t>
      </w:r>
      <w:r w:rsidR="00C313F2" w:rsidRPr="00C313F2">
        <w:rPr>
          <w:rFonts w:ascii="Georgia" w:hAnsi="Georgia"/>
          <w:i/>
          <w:color w:val="808080" w:themeColor="background1" w:themeShade="80"/>
          <w:lang w:val="en-GB" w:eastAsia="de-DE"/>
        </w:rPr>
        <w:t xml:space="preserve">SIMP </w:t>
      </w:r>
      <w:r w:rsidR="00FE37F1" w:rsidRPr="00C313F2">
        <w:rPr>
          <w:rFonts w:ascii="Georgia" w:hAnsi="Georgia"/>
          <w:i/>
          <w:color w:val="808080" w:themeColor="background1" w:themeShade="80"/>
          <w:lang w:val="en-GB" w:eastAsia="de-DE"/>
        </w:rPr>
        <w:t>draft is published)</w:t>
      </w:r>
      <w:r w:rsidR="00FE37F1" w:rsidRPr="00C313F2">
        <w:rPr>
          <w:rFonts w:ascii="Georgia" w:hAnsi="Georgia"/>
          <w:lang w:val="en-GB" w:eastAsia="de-DE"/>
        </w:rPr>
        <w:t>.</w:t>
      </w:r>
      <w:r w:rsidR="008E4806">
        <w:rPr>
          <w:rFonts w:ascii="Georgia" w:hAnsi="Georgia"/>
          <w:lang w:val="en-GB" w:eastAsia="de-DE"/>
        </w:rPr>
        <w:t xml:space="preserve"> </w:t>
      </w:r>
      <w:r w:rsidR="008E4806" w:rsidRPr="00C313F2">
        <w:rPr>
          <w:rFonts w:ascii="Georgia" w:hAnsi="Georgia" w:cs="Arial"/>
          <w:lang w:val="en-GB"/>
        </w:rPr>
        <w:t>The initiative is open to further stakeholder networks and organisations, which commit to the objectives and are willing to collaborate within the framework of the MoU.</w:t>
      </w:r>
    </w:p>
    <w:p w14:paraId="759B4FEE" w14:textId="77777777" w:rsidR="00F439F2" w:rsidRDefault="00F439F2" w:rsidP="00C313F2">
      <w:pPr>
        <w:spacing w:after="0" w:line="276" w:lineRule="auto"/>
        <w:ind w:left="360"/>
        <w:rPr>
          <w:rFonts w:ascii="Georgia" w:hAnsi="Georgia" w:cs="Times New Roman"/>
          <w:lang w:val="en-GB"/>
        </w:rPr>
      </w:pPr>
    </w:p>
    <w:p w14:paraId="3A2AA3AB" w14:textId="11F90109" w:rsidR="004F3E0B" w:rsidRPr="00C313F2" w:rsidRDefault="007B7A93" w:rsidP="00C313F2">
      <w:pPr>
        <w:spacing w:after="0" w:line="276" w:lineRule="auto"/>
        <w:ind w:left="360"/>
        <w:rPr>
          <w:rFonts w:ascii="Georgia" w:hAnsi="Georgia" w:cs="Arial"/>
          <w:lang w:val="en-GB"/>
        </w:rPr>
      </w:pPr>
      <w:r>
        <w:rPr>
          <w:rFonts w:ascii="Georgia" w:hAnsi="Georgia" w:cs="Times New Roman"/>
          <w:lang w:val="en-GB"/>
        </w:rPr>
        <w:t xml:space="preserve">The </w:t>
      </w:r>
      <w:r w:rsidR="004F3E0B" w:rsidRPr="00C313F2">
        <w:rPr>
          <w:rFonts w:ascii="Georgia" w:hAnsi="Georgia" w:cs="Times New Roman"/>
          <w:lang w:val="en-GB"/>
        </w:rPr>
        <w:t>Trilateral WH Partnership is based upon existing, proven structures and networks</w:t>
      </w:r>
      <w:r>
        <w:rPr>
          <w:rFonts w:ascii="Georgia" w:hAnsi="Georgia" w:cs="Times New Roman"/>
          <w:lang w:val="en-GB"/>
        </w:rPr>
        <w:t xml:space="preserve"> with a </w:t>
      </w:r>
      <w:r w:rsidRPr="00C313F2">
        <w:rPr>
          <w:rFonts w:ascii="Georgia" w:hAnsi="Georgia" w:cs="Times New Roman"/>
          <w:lang w:val="en-GB"/>
        </w:rPr>
        <w:t>long history of achievements and contributions of stakeholders’ and partner‘s networks</w:t>
      </w:r>
      <w:r w:rsidR="004F3E0B" w:rsidRPr="00C313F2">
        <w:rPr>
          <w:rFonts w:ascii="Georgia" w:hAnsi="Georgia" w:cs="Times New Roman"/>
          <w:lang w:val="en-GB"/>
        </w:rPr>
        <w:t xml:space="preserve">. </w:t>
      </w:r>
      <w:r w:rsidR="00911273">
        <w:rPr>
          <w:rFonts w:ascii="Georgia" w:hAnsi="Georgia" w:cs="Times New Roman"/>
          <w:lang w:val="en-GB"/>
        </w:rPr>
        <w:t xml:space="preserve">Furthermore, the initiative aims at </w:t>
      </w:r>
      <w:r w:rsidR="00C313F2" w:rsidRPr="00C313F2">
        <w:rPr>
          <w:rFonts w:ascii="Georgia" w:hAnsi="Georgia" w:cs="Arial"/>
          <w:lang w:val="en-GB"/>
        </w:rPr>
        <w:t>complement</w:t>
      </w:r>
      <w:r w:rsidR="00911273">
        <w:rPr>
          <w:rFonts w:ascii="Georgia" w:hAnsi="Georgia" w:cs="Arial"/>
          <w:lang w:val="en-GB"/>
        </w:rPr>
        <w:t>ing</w:t>
      </w:r>
      <w:r w:rsidR="00C313F2" w:rsidRPr="00C313F2">
        <w:rPr>
          <w:rFonts w:ascii="Georgia" w:hAnsi="Georgia" w:cs="Arial"/>
          <w:lang w:val="en-GB"/>
        </w:rPr>
        <w:t xml:space="preserve"> </w:t>
      </w:r>
      <w:r w:rsidR="002E07C6">
        <w:rPr>
          <w:rFonts w:ascii="Georgia" w:hAnsi="Georgia" w:cs="Arial"/>
          <w:lang w:val="en-GB"/>
        </w:rPr>
        <w:t xml:space="preserve">national and regional, site specific </w:t>
      </w:r>
      <w:r w:rsidR="00C313F2" w:rsidRPr="00C313F2">
        <w:rPr>
          <w:rFonts w:ascii="Georgia" w:hAnsi="Georgia" w:cs="Arial"/>
          <w:lang w:val="en-GB"/>
        </w:rPr>
        <w:t>partnership initiatives for nature conservation and sustainable development</w:t>
      </w:r>
      <w:r w:rsidR="004F3E0B" w:rsidRPr="00C313F2">
        <w:rPr>
          <w:rFonts w:ascii="Georgia" w:hAnsi="Georgia" w:cs="Times New Roman"/>
          <w:lang w:val="en-GB"/>
        </w:rPr>
        <w:t>.</w:t>
      </w:r>
      <w:r w:rsidR="00C313F2" w:rsidRPr="00C313F2">
        <w:rPr>
          <w:rFonts w:ascii="Georgia" w:hAnsi="Georgia" w:cs="Arial"/>
          <w:lang w:val="en-GB"/>
        </w:rPr>
        <w:t xml:space="preserve"> </w:t>
      </w:r>
    </w:p>
    <w:p w14:paraId="69A0AFAE" w14:textId="77777777" w:rsidR="00C313F2" w:rsidRPr="00C313F2" w:rsidRDefault="00C313F2" w:rsidP="00C313F2">
      <w:pPr>
        <w:spacing w:after="0" w:line="276" w:lineRule="auto"/>
        <w:ind w:left="360"/>
        <w:rPr>
          <w:rFonts w:ascii="Georgia" w:eastAsia="Batang" w:hAnsi="Georgia" w:cs="Times New Roman"/>
          <w:lang w:val="en-GB" w:eastAsia="ko-KR"/>
        </w:rPr>
      </w:pPr>
    </w:p>
    <w:p w14:paraId="03A63758" w14:textId="01EAEEF7" w:rsidR="0015140E" w:rsidRPr="007B7A93" w:rsidRDefault="0015140E" w:rsidP="00BC4B41">
      <w:pPr>
        <w:pStyle w:val="Pa1"/>
        <w:spacing w:after="100" w:line="276" w:lineRule="auto"/>
        <w:ind w:left="360"/>
        <w:rPr>
          <w:rFonts w:ascii="Georgia" w:hAnsi="Georgia" w:cs="Times New Roman"/>
          <w:color w:val="000000"/>
          <w:sz w:val="22"/>
          <w:szCs w:val="22"/>
          <w:lang w:val="en-GB"/>
        </w:rPr>
      </w:pPr>
      <w:r w:rsidRPr="007B7A93">
        <w:rPr>
          <w:rFonts w:ascii="Georgia" w:hAnsi="Georgia" w:cs="Times New Roman"/>
          <w:color w:val="000000"/>
          <w:sz w:val="22"/>
          <w:szCs w:val="22"/>
          <w:lang w:val="en-GB"/>
        </w:rPr>
        <w:t>Developing and sustaining a successful Trilateral WH Partnership, particularly across sectors and existing collaboration structures, is challenging and requires a significant investment of both time and resources. It needs an organisational set-up to further develop, support it</w:t>
      </w:r>
      <w:r w:rsidR="00FE37F1" w:rsidRPr="007B7A93">
        <w:rPr>
          <w:rFonts w:ascii="Georgia" w:hAnsi="Georgia" w:cs="Times New Roman"/>
          <w:color w:val="000000"/>
          <w:sz w:val="22"/>
          <w:szCs w:val="22"/>
          <w:lang w:val="en-GB"/>
        </w:rPr>
        <w:t xml:space="preserve"> and</w:t>
      </w:r>
      <w:r w:rsidRPr="007B7A93">
        <w:rPr>
          <w:rFonts w:ascii="Georgia" w:hAnsi="Georgia" w:cs="Times New Roman"/>
          <w:color w:val="000000"/>
          <w:sz w:val="22"/>
          <w:szCs w:val="22"/>
          <w:lang w:val="en-GB"/>
        </w:rPr>
        <w:t xml:space="preserve"> keep it up and running effectively: A Partnership Hub.</w:t>
      </w:r>
    </w:p>
    <w:p w14:paraId="1AA5D0F6" w14:textId="73837087" w:rsidR="0015140E" w:rsidRPr="007B7A93" w:rsidRDefault="00F439F2" w:rsidP="00BC4B41">
      <w:pPr>
        <w:spacing w:line="276" w:lineRule="auto"/>
        <w:ind w:left="360"/>
        <w:rPr>
          <w:rFonts w:ascii="Georgia" w:eastAsia="Batang" w:hAnsi="Georgia" w:cs="Times New Roman"/>
          <w:lang w:val="en-GB" w:eastAsia="ko-KR"/>
        </w:rPr>
      </w:pPr>
      <w:r w:rsidRPr="007B7A93">
        <w:rPr>
          <w:rFonts w:ascii="Georgia" w:eastAsia="Batang" w:hAnsi="Georgia" w:cs="Times New Roman"/>
          <w:lang w:val="en-GB" w:eastAsia="ko-KR"/>
        </w:rPr>
        <w:t>Th</w:t>
      </w:r>
      <w:r w:rsidR="005C6148">
        <w:rPr>
          <w:rFonts w:ascii="Georgia" w:eastAsia="Batang" w:hAnsi="Georgia" w:cs="Times New Roman"/>
          <w:lang w:val="en-GB" w:eastAsia="ko-KR"/>
        </w:rPr>
        <w:t>e</w:t>
      </w:r>
      <w:r w:rsidRPr="007B7A93">
        <w:rPr>
          <w:rFonts w:ascii="Georgia" w:eastAsia="Batang" w:hAnsi="Georgia" w:cs="Times New Roman"/>
          <w:lang w:val="en-GB" w:eastAsia="ko-KR"/>
        </w:rPr>
        <w:t xml:space="preserve"> trilateral Partnership Hub</w:t>
      </w:r>
      <w:r w:rsidR="00C367CE" w:rsidRPr="007B7A93">
        <w:rPr>
          <w:rFonts w:ascii="Georgia" w:eastAsia="Batang" w:hAnsi="Georgia" w:cs="Times New Roman"/>
          <w:lang w:val="en-GB" w:eastAsia="ko-KR"/>
        </w:rPr>
        <w:t xml:space="preserve"> supports management and organisation of the </w:t>
      </w:r>
      <w:r w:rsidRPr="007B7A93">
        <w:rPr>
          <w:rFonts w:ascii="Georgia" w:eastAsia="Batang" w:hAnsi="Georgia" w:cs="Times New Roman"/>
          <w:lang w:val="en-GB" w:eastAsia="ko-KR"/>
        </w:rPr>
        <w:t xml:space="preserve">trilateral WH </w:t>
      </w:r>
      <w:r w:rsidR="00C367CE" w:rsidRPr="007B7A93">
        <w:rPr>
          <w:rFonts w:ascii="Georgia" w:eastAsia="Batang" w:hAnsi="Georgia" w:cs="Times New Roman"/>
          <w:lang w:val="en-GB" w:eastAsia="ko-KR"/>
        </w:rPr>
        <w:t xml:space="preserve">partnership as a networking unit. </w:t>
      </w:r>
      <w:r w:rsidR="0015140E" w:rsidRPr="007B7A93">
        <w:rPr>
          <w:rFonts w:ascii="Georgia" w:hAnsi="Georgia" w:cs="Times New Roman"/>
          <w:lang w:val="en-GB"/>
        </w:rPr>
        <w:t xml:space="preserve">It </w:t>
      </w:r>
      <w:r w:rsidR="00BC4B41">
        <w:rPr>
          <w:rFonts w:ascii="Georgia" w:hAnsi="Georgia" w:cs="Times New Roman"/>
          <w:lang w:val="en-GB"/>
        </w:rPr>
        <w:t xml:space="preserve">strives to </w:t>
      </w:r>
      <w:r w:rsidR="0015140E" w:rsidRPr="007B7A93">
        <w:rPr>
          <w:rFonts w:ascii="Georgia" w:hAnsi="Georgia" w:cs="Times New Roman"/>
          <w:lang w:val="en-GB"/>
        </w:rPr>
        <w:t>act</w:t>
      </w:r>
      <w:r w:rsidRPr="007B7A93">
        <w:rPr>
          <w:rFonts w:ascii="Georgia" w:eastAsia="Calibri" w:hAnsi="Georgia" w:cs="Times New Roman"/>
          <w:lang w:val="en-GB"/>
        </w:rPr>
        <w:t xml:space="preserve"> as</w:t>
      </w:r>
      <w:r w:rsidR="0015140E" w:rsidRPr="007B7A93">
        <w:rPr>
          <w:rFonts w:ascii="Georgia" w:eastAsia="Calibri" w:hAnsi="Georgia" w:cs="Times New Roman"/>
          <w:lang w:val="en-GB"/>
        </w:rPr>
        <w:t xml:space="preserve"> catalyst for innovative modes of collaboration, focussing on creation of collaborative advantages by also </w:t>
      </w:r>
      <w:r w:rsidR="00911273">
        <w:rPr>
          <w:rFonts w:ascii="Georgia" w:eastAsia="Calibri" w:hAnsi="Georgia" w:cs="Times New Roman"/>
          <w:lang w:val="en-GB"/>
        </w:rPr>
        <w:t>considering</w:t>
      </w:r>
      <w:r w:rsidR="0015140E" w:rsidRPr="007B7A93">
        <w:rPr>
          <w:rFonts w:ascii="Georgia" w:eastAsia="Calibri" w:hAnsi="Georgia" w:cs="Times New Roman"/>
          <w:lang w:val="en-GB"/>
        </w:rPr>
        <w:t xml:space="preserve"> interests and individual value gained by the partners.</w:t>
      </w:r>
    </w:p>
    <w:p w14:paraId="3C4C8FAF" w14:textId="4D45DFD8" w:rsidR="00CD16E4" w:rsidRDefault="002E07C6" w:rsidP="005C6148">
      <w:pPr>
        <w:spacing w:after="200" w:line="276" w:lineRule="auto"/>
        <w:ind w:left="360"/>
        <w:rPr>
          <w:rFonts w:ascii="Georgia" w:hAnsi="Georgia" w:cs="Times New Roman"/>
          <w:lang w:val="en-GB"/>
        </w:rPr>
      </w:pPr>
      <w:r>
        <w:rPr>
          <w:rFonts w:ascii="Georgia" w:hAnsi="Georgia" w:cs="Arial"/>
          <w:lang w:val="en-GB"/>
        </w:rPr>
        <w:t>The s</w:t>
      </w:r>
      <w:r w:rsidR="00F439F2" w:rsidRPr="007B7A93">
        <w:rPr>
          <w:rFonts w:ascii="Georgia" w:hAnsi="Georgia" w:cs="Arial"/>
          <w:lang w:val="en-GB"/>
        </w:rPr>
        <w:t>tructur</w:t>
      </w:r>
      <w:r>
        <w:rPr>
          <w:rFonts w:ascii="Georgia" w:hAnsi="Georgia" w:cs="Arial"/>
          <w:lang w:val="en-GB"/>
        </w:rPr>
        <w:t>ing</w:t>
      </w:r>
      <w:r w:rsidR="00F439F2" w:rsidRPr="007B7A93">
        <w:rPr>
          <w:rFonts w:ascii="Georgia" w:hAnsi="Georgia" w:cs="Arial"/>
          <w:lang w:val="en-GB"/>
        </w:rPr>
        <w:t xml:space="preserve"> and set</w:t>
      </w:r>
      <w:r w:rsidR="00C367CE" w:rsidRPr="007B7A93">
        <w:rPr>
          <w:rFonts w:ascii="Georgia" w:hAnsi="Georgia" w:cs="Arial"/>
          <w:lang w:val="en-GB"/>
        </w:rPr>
        <w:t>ting</w:t>
      </w:r>
      <w:r w:rsidR="00F439F2" w:rsidRPr="007B7A93">
        <w:rPr>
          <w:rFonts w:ascii="Georgia" w:hAnsi="Georgia" w:cs="Arial"/>
          <w:lang w:val="en-GB"/>
        </w:rPr>
        <w:t>-up of the P</w:t>
      </w:r>
      <w:r w:rsidR="00C313F2" w:rsidRPr="007B7A93">
        <w:rPr>
          <w:rFonts w:ascii="Georgia" w:hAnsi="Georgia" w:cs="Arial"/>
          <w:lang w:val="en-GB"/>
        </w:rPr>
        <w:t>artnership</w:t>
      </w:r>
      <w:r w:rsidR="00F439F2" w:rsidRPr="007B7A93">
        <w:rPr>
          <w:rFonts w:ascii="Georgia" w:hAnsi="Georgia" w:cs="Arial"/>
          <w:lang w:val="en-GB"/>
        </w:rPr>
        <w:t xml:space="preserve"> Hub </w:t>
      </w:r>
      <w:r w:rsidR="00C313F2" w:rsidRPr="007B7A93">
        <w:rPr>
          <w:rFonts w:ascii="Georgia" w:hAnsi="Georgia" w:cs="Arial"/>
          <w:lang w:val="en-GB"/>
        </w:rPr>
        <w:t xml:space="preserve">follow a stepwise approach to secure </w:t>
      </w:r>
      <w:r w:rsidR="008E4806">
        <w:rPr>
          <w:rFonts w:ascii="Georgia" w:hAnsi="Georgia" w:cs="Arial"/>
          <w:lang w:val="en-GB"/>
        </w:rPr>
        <w:t xml:space="preserve">flexibility and adaptability </w:t>
      </w:r>
      <w:r w:rsidR="00C313F2" w:rsidRPr="007B7A93">
        <w:rPr>
          <w:rFonts w:ascii="Georgia" w:hAnsi="Georgia" w:cs="Arial"/>
          <w:lang w:val="en-GB"/>
        </w:rPr>
        <w:t xml:space="preserve">as the partnership develops further. During the three </w:t>
      </w:r>
      <w:r w:rsidR="00C313F2" w:rsidRPr="007B7A93">
        <w:rPr>
          <w:rFonts w:ascii="Georgia" w:hAnsi="Georgia" w:cs="Arial"/>
          <w:lang w:val="en-GB"/>
        </w:rPr>
        <w:lastRenderedPageBreak/>
        <w:t xml:space="preserve">years start-up-phase, the team of the Partnership Hub is associated to the Common </w:t>
      </w:r>
      <w:proofErr w:type="spellStart"/>
      <w:r w:rsidR="00C313F2" w:rsidRPr="007B7A93">
        <w:rPr>
          <w:rFonts w:ascii="Georgia" w:hAnsi="Georgia" w:cs="Arial"/>
          <w:lang w:val="en-GB"/>
        </w:rPr>
        <w:t>Wadden</w:t>
      </w:r>
      <w:proofErr w:type="spellEnd"/>
      <w:r w:rsidR="00C313F2" w:rsidRPr="007B7A93">
        <w:rPr>
          <w:rFonts w:ascii="Georgia" w:hAnsi="Georgia" w:cs="Arial"/>
          <w:lang w:val="en-GB"/>
        </w:rPr>
        <w:t xml:space="preserve"> Sea Secretariat </w:t>
      </w:r>
      <w:r w:rsidR="00F83039">
        <w:rPr>
          <w:rFonts w:ascii="Georgia" w:hAnsi="Georgia" w:cs="Arial"/>
          <w:lang w:val="en-GB"/>
        </w:rPr>
        <w:t>to</w:t>
      </w:r>
      <w:r w:rsidR="00C313F2" w:rsidRPr="007B7A93">
        <w:rPr>
          <w:rFonts w:ascii="Georgia" w:hAnsi="Georgia" w:cs="Arial"/>
          <w:lang w:val="en-GB"/>
        </w:rPr>
        <w:t xml:space="preserve"> the TWSC, </w:t>
      </w:r>
      <w:r w:rsidR="008E4806">
        <w:rPr>
          <w:rFonts w:ascii="Georgia" w:hAnsi="Georgia" w:cs="Arial"/>
          <w:lang w:val="en-GB"/>
        </w:rPr>
        <w:t>wh</w:t>
      </w:r>
      <w:r w:rsidR="00BC4B41">
        <w:rPr>
          <w:rFonts w:ascii="Georgia" w:hAnsi="Georgia" w:cs="Arial"/>
          <w:lang w:val="en-GB"/>
        </w:rPr>
        <w:t>ich</w:t>
      </w:r>
      <w:r w:rsidR="008E4806">
        <w:rPr>
          <w:rFonts w:ascii="Georgia" w:hAnsi="Georgia" w:cs="Arial"/>
          <w:lang w:val="en-GB"/>
        </w:rPr>
        <w:t xml:space="preserve"> </w:t>
      </w:r>
      <w:r w:rsidR="00C313F2" w:rsidRPr="007B7A93">
        <w:rPr>
          <w:rFonts w:ascii="Georgia" w:hAnsi="Georgia" w:cs="Arial"/>
          <w:lang w:val="en-GB"/>
        </w:rPr>
        <w:t>provid</w:t>
      </w:r>
      <w:r w:rsidR="008E4806">
        <w:rPr>
          <w:rFonts w:ascii="Georgia" w:hAnsi="Georgia" w:cs="Arial"/>
          <w:lang w:val="en-GB"/>
        </w:rPr>
        <w:t>es</w:t>
      </w:r>
      <w:r w:rsidR="00C313F2" w:rsidRPr="007B7A93">
        <w:rPr>
          <w:rFonts w:ascii="Georgia" w:hAnsi="Georgia" w:cs="Arial"/>
          <w:lang w:val="en-GB"/>
        </w:rPr>
        <w:t xml:space="preserve"> </w:t>
      </w:r>
      <w:r w:rsidR="00F83039">
        <w:rPr>
          <w:rFonts w:ascii="Georgia" w:hAnsi="Georgia" w:cs="Arial"/>
          <w:lang w:val="en-GB"/>
        </w:rPr>
        <w:t xml:space="preserve">a </w:t>
      </w:r>
      <w:r w:rsidR="00C313F2" w:rsidRPr="007B7A93">
        <w:rPr>
          <w:rFonts w:ascii="Georgia" w:hAnsi="Georgia" w:cs="Arial"/>
          <w:lang w:val="en-GB"/>
        </w:rPr>
        <w:t xml:space="preserve">backbone during </w:t>
      </w:r>
      <w:r w:rsidR="005C6148">
        <w:rPr>
          <w:rFonts w:ascii="Georgia" w:hAnsi="Georgia" w:cs="Arial"/>
          <w:lang w:val="en-GB"/>
        </w:rPr>
        <w:t>this</w:t>
      </w:r>
      <w:r w:rsidR="00C313F2" w:rsidRPr="007B7A93">
        <w:rPr>
          <w:rFonts w:ascii="Georgia" w:hAnsi="Georgia" w:cs="Arial"/>
          <w:lang w:val="en-GB"/>
        </w:rPr>
        <w:t xml:space="preserve"> phase. The hub will support the strategic partners to collaborate, encourage and facilitate effective and trustful working relationships, while sharing information, </w:t>
      </w:r>
      <w:proofErr w:type="gramStart"/>
      <w:r w:rsidR="00C313F2" w:rsidRPr="007B7A93">
        <w:rPr>
          <w:rFonts w:ascii="Georgia" w:hAnsi="Georgia" w:cs="Arial"/>
          <w:lang w:val="en-GB"/>
        </w:rPr>
        <w:t>knowledge</w:t>
      </w:r>
      <w:proofErr w:type="gramEnd"/>
      <w:r w:rsidR="00C313F2" w:rsidRPr="007B7A93">
        <w:rPr>
          <w:rFonts w:ascii="Georgia" w:hAnsi="Georgia" w:cs="Arial"/>
          <w:lang w:val="en-GB"/>
        </w:rPr>
        <w:t xml:space="preserve"> and experience. It will facilitate planning and initiation of </w:t>
      </w:r>
      <w:r w:rsidR="00CD16E4">
        <w:rPr>
          <w:rFonts w:ascii="Georgia" w:hAnsi="Georgia" w:cs="Arial"/>
          <w:lang w:val="en-GB"/>
        </w:rPr>
        <w:t xml:space="preserve">specific trilateral </w:t>
      </w:r>
      <w:r w:rsidR="00C313F2" w:rsidRPr="007B7A93">
        <w:rPr>
          <w:rFonts w:ascii="Georgia" w:hAnsi="Georgia" w:cs="Arial"/>
          <w:lang w:val="en-GB"/>
        </w:rPr>
        <w:t>project</w:t>
      </w:r>
      <w:r w:rsidR="00C367CE" w:rsidRPr="007B7A93">
        <w:rPr>
          <w:rFonts w:ascii="Georgia" w:hAnsi="Georgia" w:cs="Arial"/>
          <w:lang w:val="en-GB"/>
        </w:rPr>
        <w:t>s</w:t>
      </w:r>
      <w:r w:rsidR="00F83039">
        <w:rPr>
          <w:rFonts w:ascii="Georgia" w:hAnsi="Georgia" w:cs="Arial"/>
          <w:lang w:val="en-GB"/>
        </w:rPr>
        <w:t>,</w:t>
      </w:r>
      <w:r w:rsidR="00CD16E4">
        <w:rPr>
          <w:rFonts w:ascii="Georgia" w:hAnsi="Georgia" w:cs="Arial"/>
          <w:lang w:val="en-GB"/>
        </w:rPr>
        <w:t xml:space="preserve"> </w:t>
      </w:r>
      <w:r w:rsidR="00C367CE" w:rsidRPr="007B7A93">
        <w:rPr>
          <w:rFonts w:ascii="Georgia" w:hAnsi="Georgia" w:cs="Arial"/>
          <w:lang w:val="en-GB"/>
        </w:rPr>
        <w:t>common actions and assist</w:t>
      </w:r>
      <w:r w:rsidR="00C313F2" w:rsidRPr="007B7A93">
        <w:rPr>
          <w:rFonts w:ascii="Georgia" w:hAnsi="Georgia" w:cs="Arial"/>
          <w:lang w:val="en-GB"/>
        </w:rPr>
        <w:t xml:space="preserve"> partners </w:t>
      </w:r>
      <w:r w:rsidR="00911273">
        <w:rPr>
          <w:rFonts w:ascii="Georgia" w:hAnsi="Georgia" w:cs="Arial"/>
          <w:lang w:val="en-GB"/>
        </w:rPr>
        <w:t>with applications</w:t>
      </w:r>
      <w:r w:rsidR="00C313F2" w:rsidRPr="007B7A93">
        <w:rPr>
          <w:rFonts w:ascii="Georgia" w:hAnsi="Georgia" w:cs="Arial"/>
          <w:lang w:val="en-GB"/>
        </w:rPr>
        <w:t xml:space="preserve"> for funding.</w:t>
      </w:r>
      <w:r w:rsidR="005C6148">
        <w:rPr>
          <w:rFonts w:ascii="Georgia" w:hAnsi="Georgia" w:cs="Arial"/>
          <w:lang w:val="en-GB"/>
        </w:rPr>
        <w:t xml:space="preserve"> </w:t>
      </w:r>
      <w:r w:rsidR="00C313F2" w:rsidRPr="007B7A93">
        <w:rPr>
          <w:rFonts w:ascii="Georgia" w:hAnsi="Georgia" w:cs="Arial"/>
          <w:lang w:val="en-GB"/>
        </w:rPr>
        <w:t xml:space="preserve">The start-up phase of the Partnership </w:t>
      </w:r>
      <w:r w:rsidR="00F439F2" w:rsidRPr="007B7A93">
        <w:rPr>
          <w:rFonts w:ascii="Georgia" w:hAnsi="Georgia" w:cs="Arial"/>
          <w:lang w:val="en-GB"/>
        </w:rPr>
        <w:t>Hub wi</w:t>
      </w:r>
      <w:r w:rsidR="00C313F2" w:rsidRPr="007B7A93">
        <w:rPr>
          <w:rFonts w:ascii="Georgia" w:hAnsi="Georgia" w:cs="Arial"/>
          <w:lang w:val="en-GB"/>
        </w:rPr>
        <w:t>ll be concluded by an evaluation, including a review of the governance and management structures.</w:t>
      </w:r>
      <w:r w:rsidR="0015140E" w:rsidRPr="007B7A93">
        <w:rPr>
          <w:rFonts w:ascii="Georgia" w:hAnsi="Georgia" w:cs="Times New Roman"/>
          <w:lang w:val="en-GB"/>
        </w:rPr>
        <w:t xml:space="preserve"> </w:t>
      </w:r>
      <w:r w:rsidR="00F83039">
        <w:rPr>
          <w:rFonts w:ascii="Georgia" w:hAnsi="Georgia" w:cs="Times New Roman"/>
          <w:lang w:val="en-GB"/>
        </w:rPr>
        <w:t xml:space="preserve">Based upon the outcome of the evaluation, </w:t>
      </w:r>
      <w:r w:rsidR="001B3F20" w:rsidRPr="007B7A93">
        <w:rPr>
          <w:rFonts w:ascii="Georgia" w:hAnsi="Georgia" w:cs="Times New Roman"/>
          <w:lang w:val="en-GB"/>
        </w:rPr>
        <w:t xml:space="preserve">the Partnership Hub </w:t>
      </w:r>
      <w:r w:rsidR="00D4698A" w:rsidRPr="007B7A93">
        <w:rPr>
          <w:rFonts w:ascii="Georgia" w:hAnsi="Georgia" w:cs="Times New Roman"/>
          <w:lang w:val="en-GB"/>
        </w:rPr>
        <w:t>will</w:t>
      </w:r>
      <w:r w:rsidR="001B3F20" w:rsidRPr="007B7A93">
        <w:rPr>
          <w:rFonts w:ascii="Georgia" w:hAnsi="Georgia" w:cs="Times New Roman"/>
          <w:lang w:val="en-GB"/>
        </w:rPr>
        <w:t xml:space="preserve"> be developed into a more or less independent organisation </w:t>
      </w:r>
      <w:r w:rsidR="00F83039">
        <w:rPr>
          <w:rFonts w:ascii="Georgia" w:hAnsi="Georgia" w:cs="Times New Roman"/>
          <w:lang w:val="en-GB"/>
        </w:rPr>
        <w:t>f</w:t>
      </w:r>
      <w:r w:rsidR="00F83039" w:rsidRPr="007B7A93">
        <w:rPr>
          <w:rFonts w:ascii="Georgia" w:hAnsi="Georgia" w:cs="Times New Roman"/>
          <w:lang w:val="en-GB"/>
        </w:rPr>
        <w:t>or the long-term perspective</w:t>
      </w:r>
      <w:r w:rsidR="00F83039">
        <w:rPr>
          <w:rFonts w:ascii="Georgia" w:hAnsi="Georgia" w:cs="Times New Roman"/>
          <w:lang w:val="en-GB"/>
        </w:rPr>
        <w:t xml:space="preserve">. </w:t>
      </w:r>
    </w:p>
    <w:p w14:paraId="6D2B0499" w14:textId="7A61272F" w:rsidR="008640C7" w:rsidRPr="00CD16E4" w:rsidRDefault="008640C7" w:rsidP="00CD16E4">
      <w:pPr>
        <w:spacing w:after="200" w:line="276" w:lineRule="auto"/>
        <w:ind w:left="360"/>
        <w:rPr>
          <w:rFonts w:ascii="Georgia" w:hAnsi="Georgia" w:cs="Times New Roman"/>
          <w:lang w:val="en-GB"/>
        </w:rPr>
      </w:pPr>
    </w:p>
    <w:sectPr w:rsidR="008640C7" w:rsidRPr="00CD16E4" w:rsidSect="00E82FA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3453" w14:textId="77777777" w:rsidR="00E93D3E" w:rsidRDefault="00E93D3E" w:rsidP="00E82FA3">
      <w:pPr>
        <w:spacing w:after="0" w:line="240" w:lineRule="auto"/>
      </w:pPr>
      <w:r>
        <w:separator/>
      </w:r>
    </w:p>
  </w:endnote>
  <w:endnote w:type="continuationSeparator" w:id="0">
    <w:p w14:paraId="1064402E" w14:textId="77777777" w:rsidR="00E93D3E" w:rsidRDefault="00E93D3E" w:rsidP="00E8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11DC9" w14:textId="77777777" w:rsidR="00E93D3E" w:rsidRDefault="00E93D3E" w:rsidP="00E82FA3">
      <w:pPr>
        <w:spacing w:after="0" w:line="240" w:lineRule="auto"/>
      </w:pPr>
      <w:r>
        <w:separator/>
      </w:r>
    </w:p>
  </w:footnote>
  <w:footnote w:type="continuationSeparator" w:id="0">
    <w:p w14:paraId="6200328C" w14:textId="77777777" w:rsidR="00E93D3E" w:rsidRDefault="00E93D3E" w:rsidP="00E8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61A3" w14:textId="5383B4A0" w:rsidR="00E82FA3" w:rsidRPr="00A24FFB" w:rsidRDefault="00D261D1" w:rsidP="00E82FA3">
    <w:pPr>
      <w:pStyle w:val="Kopfzeile"/>
      <w:jc w:val="right"/>
      <w:rPr>
        <w:i/>
        <w:iCs/>
        <w:lang w:val="en-GB"/>
      </w:rPr>
    </w:pPr>
    <w:r>
      <w:rPr>
        <w:b/>
        <w:bCs/>
        <w:i/>
        <w:iCs/>
        <w:lang w:val="en-GB"/>
      </w:rPr>
      <w:t>Single Integrated Management Plan</w:t>
    </w:r>
    <w:r w:rsidR="00296F16">
      <w:rPr>
        <w:b/>
        <w:bCs/>
        <w:i/>
        <w:iCs/>
        <w:lang w:val="en-GB"/>
      </w:rPr>
      <w:t xml:space="preserve"> </w:t>
    </w:r>
    <w:r>
      <w:rPr>
        <w:b/>
        <w:bCs/>
        <w:i/>
        <w:iCs/>
        <w:lang w:val="en-GB"/>
      </w:rPr>
      <w:t>Section</w:t>
    </w:r>
    <w:r w:rsidR="00296F16">
      <w:rPr>
        <w:b/>
        <w:bCs/>
        <w:i/>
        <w:iCs/>
        <w:lang w:val="en-GB"/>
      </w:rPr>
      <w:t xml:space="preserve"> </w:t>
    </w:r>
    <w:r>
      <w:rPr>
        <w:b/>
        <w:bCs/>
        <w:i/>
        <w:iCs/>
        <w:lang w:val="en-GB"/>
      </w:rPr>
      <w:t>6</w:t>
    </w:r>
    <w:r w:rsidR="00296F16">
      <w:rPr>
        <w:b/>
        <w:bCs/>
        <w:i/>
        <w:iCs/>
        <w:lang w:val="en-GB"/>
      </w:rPr>
      <w:t>.</w:t>
    </w:r>
    <w:r>
      <w:rPr>
        <w:b/>
        <w:bCs/>
        <w:i/>
        <w:iCs/>
        <w:lang w:val="en-GB"/>
      </w:rPr>
      <w:t>6</w:t>
    </w:r>
    <w:r w:rsidR="00296F16">
      <w:rPr>
        <w:b/>
        <w:bCs/>
        <w:i/>
        <w:iCs/>
        <w:lang w:val="en-GB"/>
      </w:rPr>
      <w:t>;</w:t>
    </w:r>
    <w:r w:rsidR="00296F16">
      <w:rPr>
        <w:b/>
        <w:bCs/>
        <w:i/>
        <w:iCs/>
        <w:lang w:val="en-GB"/>
      </w:rPr>
      <w:br/>
      <w:t xml:space="preserve">  </w:t>
    </w:r>
    <w:r w:rsidR="00E82FA3">
      <w:rPr>
        <w:b/>
        <w:bCs/>
        <w:i/>
        <w:iCs/>
        <w:lang w:val="en-GB"/>
      </w:rPr>
      <w:t xml:space="preserve">Proposal </w:t>
    </w:r>
    <w:r w:rsidR="00F23E7E">
      <w:rPr>
        <w:b/>
        <w:bCs/>
        <w:i/>
        <w:iCs/>
        <w:lang w:val="en-GB"/>
      </w:rPr>
      <w:t xml:space="preserve">from </w:t>
    </w:r>
    <w:proofErr w:type="spellStart"/>
    <w:r w:rsidR="00E82FA3">
      <w:rPr>
        <w:b/>
        <w:bCs/>
        <w:i/>
        <w:iCs/>
        <w:lang w:val="en-GB"/>
      </w:rPr>
      <w:t>OPteamPH</w:t>
    </w:r>
    <w:proofErr w:type="spellEnd"/>
    <w:r w:rsidR="00E82FA3">
      <w:rPr>
        <w:b/>
        <w:bCs/>
        <w:i/>
        <w:iCs/>
        <w:lang w:val="en-GB"/>
      </w:rPr>
      <w:t xml:space="preserve"> (date </w:t>
    </w:r>
    <w:r w:rsidR="00F23E7E">
      <w:rPr>
        <w:b/>
        <w:bCs/>
        <w:i/>
        <w:iCs/>
        <w:lang w:val="en-GB"/>
      </w:rPr>
      <w:t>25</w:t>
    </w:r>
    <w:r w:rsidR="00E82FA3">
      <w:rPr>
        <w:b/>
        <w:bCs/>
        <w:i/>
        <w:iCs/>
        <w:lang w:val="en-GB"/>
      </w:rPr>
      <w:t>.09.2020)</w:t>
    </w:r>
  </w:p>
  <w:p w14:paraId="395AB309" w14:textId="77777777" w:rsidR="00E82FA3" w:rsidRPr="00D261D1" w:rsidRDefault="00E82FA3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5071A"/>
    <w:multiLevelType w:val="hybridMultilevel"/>
    <w:tmpl w:val="B2B40FDA"/>
    <w:lvl w:ilvl="0" w:tplc="7E7E4C34">
      <w:start w:val="1"/>
      <w:numFmt w:val="bullet"/>
      <w:pStyle w:val="4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5380"/>
    <w:multiLevelType w:val="multilevel"/>
    <w:tmpl w:val="3AD468C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BE1E6A"/>
    <w:multiLevelType w:val="hybridMultilevel"/>
    <w:tmpl w:val="1F22C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677C1"/>
    <w:multiLevelType w:val="multilevel"/>
    <w:tmpl w:val="EF9CE7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E843C33"/>
    <w:multiLevelType w:val="hybridMultilevel"/>
    <w:tmpl w:val="66CCF6F0"/>
    <w:lvl w:ilvl="0" w:tplc="E7C0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0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4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A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2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67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A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E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C2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A3"/>
    <w:rsid w:val="00056C3E"/>
    <w:rsid w:val="00077F63"/>
    <w:rsid w:val="00080243"/>
    <w:rsid w:val="0015140E"/>
    <w:rsid w:val="001B3F20"/>
    <w:rsid w:val="00296F16"/>
    <w:rsid w:val="002E07C6"/>
    <w:rsid w:val="00381A51"/>
    <w:rsid w:val="004209FC"/>
    <w:rsid w:val="004968A8"/>
    <w:rsid w:val="004A1D1C"/>
    <w:rsid w:val="004F3E0B"/>
    <w:rsid w:val="005C6148"/>
    <w:rsid w:val="00731A42"/>
    <w:rsid w:val="00796D12"/>
    <w:rsid w:val="007B7A93"/>
    <w:rsid w:val="008640C7"/>
    <w:rsid w:val="008E4806"/>
    <w:rsid w:val="00911273"/>
    <w:rsid w:val="00A876C2"/>
    <w:rsid w:val="00BC4B41"/>
    <w:rsid w:val="00C313F2"/>
    <w:rsid w:val="00C367CE"/>
    <w:rsid w:val="00CD16E4"/>
    <w:rsid w:val="00D261D1"/>
    <w:rsid w:val="00D4698A"/>
    <w:rsid w:val="00E82FA3"/>
    <w:rsid w:val="00E93D3E"/>
    <w:rsid w:val="00F23E7E"/>
    <w:rsid w:val="00F439F2"/>
    <w:rsid w:val="00F83039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E3835"/>
  <w15:chartTrackingRefBased/>
  <w15:docId w15:val="{2091A4CE-3F64-4A95-AF62-161BF39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ectiontitles">
    <w:name w:val="1_Section titles"/>
    <w:basedOn w:val="Standard"/>
    <w:qFormat/>
    <w:rsid w:val="00E82FA3"/>
    <w:pPr>
      <w:spacing w:before="340" w:after="340" w:line="240" w:lineRule="auto"/>
    </w:pPr>
    <w:rPr>
      <w:rFonts w:ascii="Arial" w:eastAsiaTheme="minorEastAsia" w:hAnsi="Arial" w:cs="Arial"/>
      <w:b/>
      <w:color w:val="00B7E5"/>
      <w:sz w:val="48"/>
      <w:szCs w:val="48"/>
      <w:lang w:val="en-US"/>
    </w:rPr>
  </w:style>
  <w:style w:type="paragraph" w:customStyle="1" w:styleId="2sub-sections">
    <w:name w:val="2_sub-sections"/>
    <w:basedOn w:val="Standard"/>
    <w:qFormat/>
    <w:rsid w:val="00E82FA3"/>
    <w:pPr>
      <w:spacing w:before="600" w:after="170" w:line="340" w:lineRule="exact"/>
    </w:pPr>
    <w:rPr>
      <w:rFonts w:ascii="Arial" w:eastAsiaTheme="minorEastAsia" w:hAnsi="Arial" w:cs="Arial"/>
      <w:b/>
      <w:color w:val="003047"/>
      <w:sz w:val="28"/>
      <w:szCs w:val="28"/>
      <w:lang w:val="en-US"/>
    </w:rPr>
  </w:style>
  <w:style w:type="paragraph" w:customStyle="1" w:styleId="4bodytext">
    <w:name w:val="4_body text"/>
    <w:basedOn w:val="Standard"/>
    <w:qFormat/>
    <w:rsid w:val="00E82FA3"/>
    <w:pPr>
      <w:numPr>
        <w:numId w:val="1"/>
      </w:numPr>
      <w:spacing w:after="170" w:line="340" w:lineRule="exact"/>
    </w:pPr>
    <w:rPr>
      <w:rFonts w:ascii="Georgia" w:eastAsiaTheme="minorEastAsia" w:hAnsi="Georgia" w:cs="Arial"/>
      <w:color w:val="000000" w:themeColor="text1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8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A3"/>
  </w:style>
  <w:style w:type="paragraph" w:styleId="Fuzeile">
    <w:name w:val="footer"/>
    <w:basedOn w:val="Standard"/>
    <w:link w:val="FuzeileZchn"/>
    <w:uiPriority w:val="99"/>
    <w:unhideWhenUsed/>
    <w:rsid w:val="00E8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2F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D1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4A1D1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A1D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1D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1D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1D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1D1C"/>
    <w:rPr>
      <w:b/>
      <w:bCs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796D12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B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Sobottka, Margrita (NLPV)</dc:creator>
  <cp:keywords/>
  <dc:description/>
  <cp:lastModifiedBy>Soledad Luna</cp:lastModifiedBy>
  <cp:revision>2</cp:revision>
  <dcterms:created xsi:type="dcterms:W3CDTF">2020-09-28T10:20:00Z</dcterms:created>
  <dcterms:modified xsi:type="dcterms:W3CDTF">2020-09-28T10:20:00Z</dcterms:modified>
</cp:coreProperties>
</file>