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5DEED07" w:rsidR="008561DC" w:rsidRPr="00771D14" w:rsidRDefault="008561DC" w:rsidP="008561DC">
      <w:pPr>
        <w:spacing w:line="360" w:lineRule="auto"/>
        <w:jc w:val="center"/>
        <w:rPr>
          <w:sz w:val="20"/>
          <w:szCs w:val="20"/>
          <w:lang w:val="en-GB"/>
        </w:rPr>
      </w:pPr>
      <w:r w:rsidRPr="00771D14">
        <w:rPr>
          <w:noProof/>
          <w:sz w:val="20"/>
          <w:szCs w:val="20"/>
          <w:lang w:val="en-GB" w:eastAsia="de-DE"/>
        </w:rPr>
        <w:drawing>
          <wp:anchor distT="0" distB="0" distL="114300" distR="114300" simplePos="0" relativeHeight="251586048" behindDoc="1" locked="0" layoutInCell="1" allowOverlap="1" wp14:anchorId="461B54A8" wp14:editId="04380D53">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771D14">
        <w:rPr>
          <w:rFonts w:ascii="Arial" w:eastAsia="Calibri" w:hAnsi="Arial" w:cs="Arial"/>
          <w:color w:val="0078B6"/>
          <w:sz w:val="28"/>
          <w:szCs w:val="36"/>
          <w:lang w:val="en-GB"/>
        </w:rPr>
        <w:t>MEETING DOCUMENT</w:t>
      </w:r>
    </w:p>
    <w:p w14:paraId="133CB4B1" w14:textId="77777777" w:rsidR="008D7FDE" w:rsidRPr="00771D14" w:rsidRDefault="008D7FDE" w:rsidP="008D7FDE">
      <w:pPr>
        <w:spacing w:after="200" w:line="276" w:lineRule="auto"/>
        <w:jc w:val="center"/>
        <w:rPr>
          <w:rFonts w:ascii="Arial" w:eastAsiaTheme="minorHAnsi" w:hAnsi="Arial" w:cs="Arial"/>
          <w:b/>
          <w:szCs w:val="36"/>
          <w:lang w:val="en-GB"/>
        </w:rPr>
      </w:pPr>
      <w:r w:rsidRPr="00771D14">
        <w:rPr>
          <w:rFonts w:ascii="Arial" w:eastAsiaTheme="minorHAnsi" w:hAnsi="Arial" w:cs="Arial"/>
          <w:b/>
          <w:szCs w:val="36"/>
          <w:lang w:val="en-GB"/>
        </w:rPr>
        <w:t>Ad hoc Working Group SWIMWAY (WG-SWIMWAY 20-2)</w:t>
      </w:r>
    </w:p>
    <w:p w14:paraId="1AECA0A0" w14:textId="77777777" w:rsidR="008D7FDE" w:rsidRPr="00771D14" w:rsidRDefault="008D7FDE" w:rsidP="008D7FDE">
      <w:pPr>
        <w:spacing w:after="200" w:line="276" w:lineRule="auto"/>
        <w:contextualSpacing/>
        <w:jc w:val="center"/>
        <w:rPr>
          <w:rFonts w:ascii="Georgia" w:eastAsia="Batang" w:hAnsi="Georgia"/>
          <w:sz w:val="20"/>
          <w:szCs w:val="20"/>
          <w:lang w:val="en-GB" w:eastAsia="ko-KR"/>
        </w:rPr>
      </w:pPr>
      <w:r w:rsidRPr="00771D14">
        <w:rPr>
          <w:rFonts w:ascii="Georgia" w:eastAsia="Batang" w:hAnsi="Georgia"/>
          <w:sz w:val="20"/>
          <w:szCs w:val="20"/>
          <w:lang w:val="en-GB" w:eastAsia="ko-KR"/>
        </w:rPr>
        <w:t>22 June 2020</w:t>
      </w:r>
    </w:p>
    <w:p w14:paraId="2530BFB8" w14:textId="0F844D8A" w:rsidR="008561DC" w:rsidRPr="00771D14" w:rsidRDefault="008D7FDE" w:rsidP="008D7FDE">
      <w:pPr>
        <w:spacing w:after="200" w:line="276" w:lineRule="auto"/>
        <w:contextualSpacing/>
        <w:jc w:val="center"/>
        <w:rPr>
          <w:rFonts w:ascii="Georgia" w:eastAsia="Batang" w:hAnsi="Georgia"/>
          <w:sz w:val="20"/>
          <w:szCs w:val="20"/>
          <w:lang w:val="en-GB" w:eastAsia="ko-KR"/>
        </w:rPr>
      </w:pPr>
      <w:r w:rsidRPr="00771D14">
        <w:rPr>
          <w:rFonts w:ascii="Georgia" w:eastAsia="Batang" w:hAnsi="Georgia"/>
          <w:sz w:val="20"/>
          <w:szCs w:val="20"/>
          <w:lang w:val="en-GB" w:eastAsia="ko-KR"/>
        </w:rPr>
        <w:t xml:space="preserve">Virtual </w:t>
      </w:r>
      <w:r w:rsidR="002F5398" w:rsidRPr="00771D14">
        <w:rPr>
          <w:rFonts w:ascii="Georgia" w:eastAsia="Batang" w:hAnsi="Georgia"/>
          <w:sz w:val="20"/>
          <w:szCs w:val="20"/>
          <w:lang w:val="en-GB" w:eastAsia="ko-KR"/>
        </w:rPr>
        <w:t>meeting</w:t>
      </w:r>
    </w:p>
    <w:p w14:paraId="5A37C50B" w14:textId="77777777" w:rsidR="008561DC" w:rsidRPr="00771D14" w:rsidRDefault="008561DC" w:rsidP="008561DC">
      <w:pPr>
        <w:pBdr>
          <w:bottom w:val="single" w:sz="6" w:space="1" w:color="auto"/>
        </w:pBdr>
        <w:spacing w:after="120" w:line="276" w:lineRule="auto"/>
        <w:rPr>
          <w:sz w:val="20"/>
          <w:szCs w:val="20"/>
          <w:lang w:val="en-GB"/>
        </w:rPr>
      </w:pPr>
    </w:p>
    <w:p w14:paraId="288F109D" w14:textId="77777777" w:rsidR="008561DC" w:rsidRPr="00771D14" w:rsidRDefault="008561DC" w:rsidP="008561DC">
      <w:pPr>
        <w:pBdr>
          <w:bottom w:val="single" w:sz="6" w:space="1" w:color="auto"/>
        </w:pBdr>
        <w:spacing w:after="120" w:line="276" w:lineRule="auto"/>
        <w:rPr>
          <w:sz w:val="20"/>
          <w:szCs w:val="20"/>
          <w:lang w:val="en-GB"/>
        </w:rPr>
      </w:pPr>
    </w:p>
    <w:p w14:paraId="137D13CE" w14:textId="77777777" w:rsidR="008561DC" w:rsidRPr="00771D14" w:rsidRDefault="008561DC" w:rsidP="008561DC">
      <w:pPr>
        <w:pBdr>
          <w:bottom w:val="single" w:sz="6" w:space="1" w:color="auto"/>
        </w:pBdr>
        <w:spacing w:after="120" w:line="276" w:lineRule="auto"/>
        <w:rPr>
          <w:rFonts w:ascii="Georgia" w:hAnsi="Georgia"/>
          <w:sz w:val="18"/>
          <w:szCs w:val="20"/>
          <w:lang w:val="en-GB"/>
        </w:rPr>
      </w:pPr>
    </w:p>
    <w:p w14:paraId="406D853A" w14:textId="481053CA" w:rsidR="008561DC" w:rsidRPr="00771D14" w:rsidRDefault="008561DC" w:rsidP="007F758D">
      <w:pPr>
        <w:tabs>
          <w:tab w:val="left" w:pos="2160"/>
        </w:tabs>
        <w:spacing w:after="200" w:line="276" w:lineRule="auto"/>
        <w:rPr>
          <w:rFonts w:ascii="Georgia" w:hAnsi="Georgia"/>
          <w:b/>
          <w:sz w:val="20"/>
          <w:szCs w:val="22"/>
          <w:lang w:val="en-GB"/>
        </w:rPr>
      </w:pPr>
      <w:r w:rsidRPr="00771D14">
        <w:rPr>
          <w:rFonts w:ascii="Georgia" w:hAnsi="Georgia"/>
          <w:b/>
          <w:sz w:val="20"/>
          <w:szCs w:val="22"/>
          <w:lang w:val="en-GB"/>
        </w:rPr>
        <w:t>Agenda Item:</w:t>
      </w:r>
      <w:r w:rsidRPr="00771D14">
        <w:rPr>
          <w:rFonts w:ascii="Georgia" w:hAnsi="Georgia"/>
          <w:b/>
          <w:sz w:val="20"/>
          <w:szCs w:val="22"/>
          <w:lang w:val="en-GB"/>
        </w:rPr>
        <w:tab/>
      </w:r>
      <w:r w:rsidR="007F758D" w:rsidRPr="00771D14">
        <w:rPr>
          <w:rFonts w:ascii="Georgia" w:hAnsi="Georgia"/>
          <w:b/>
          <w:sz w:val="20"/>
          <w:szCs w:val="22"/>
          <w:lang w:val="en-GB"/>
        </w:rPr>
        <w:t>7. Roadmap, Terms of Reference and future constituency</w:t>
      </w:r>
    </w:p>
    <w:p w14:paraId="449CCF2C" w14:textId="1112EE4E" w:rsidR="008561DC" w:rsidRPr="00771D14" w:rsidRDefault="008561DC" w:rsidP="008561DC">
      <w:pPr>
        <w:tabs>
          <w:tab w:val="left" w:pos="2160"/>
        </w:tabs>
        <w:spacing w:after="200" w:line="276" w:lineRule="auto"/>
        <w:rPr>
          <w:rFonts w:ascii="Georgia" w:hAnsi="Georgia"/>
          <w:sz w:val="20"/>
          <w:szCs w:val="22"/>
          <w:lang w:val="en-GB"/>
        </w:rPr>
      </w:pPr>
      <w:r w:rsidRPr="00771D14">
        <w:rPr>
          <w:rFonts w:ascii="Georgia" w:hAnsi="Georgia"/>
          <w:b/>
          <w:sz w:val="20"/>
          <w:szCs w:val="22"/>
          <w:lang w:val="en-GB"/>
        </w:rPr>
        <w:t>Subject:</w:t>
      </w:r>
      <w:r w:rsidRPr="00771D14">
        <w:rPr>
          <w:rFonts w:ascii="Georgia" w:hAnsi="Georgia"/>
          <w:b/>
          <w:sz w:val="20"/>
          <w:szCs w:val="22"/>
          <w:lang w:val="en-GB"/>
        </w:rPr>
        <w:tab/>
      </w:r>
      <w:r w:rsidR="007F758D" w:rsidRPr="00771D14">
        <w:rPr>
          <w:rFonts w:ascii="Georgia" w:hAnsi="Georgia"/>
          <w:b/>
          <w:sz w:val="20"/>
          <w:szCs w:val="22"/>
          <w:lang w:val="en-GB"/>
        </w:rPr>
        <w:t xml:space="preserve">Constituency </w:t>
      </w:r>
      <w:r w:rsidR="004B6932">
        <w:rPr>
          <w:rFonts w:ascii="Georgia" w:hAnsi="Georgia"/>
          <w:b/>
          <w:sz w:val="20"/>
          <w:szCs w:val="22"/>
          <w:lang w:val="en-GB"/>
        </w:rPr>
        <w:t xml:space="preserve">and Terms of Reference </w:t>
      </w:r>
      <w:r w:rsidR="007F758D" w:rsidRPr="00771D14">
        <w:rPr>
          <w:rFonts w:ascii="Georgia" w:hAnsi="Georgia"/>
          <w:b/>
          <w:sz w:val="20"/>
          <w:szCs w:val="22"/>
          <w:lang w:val="en-GB"/>
        </w:rPr>
        <w:t>Expert Group</w:t>
      </w:r>
    </w:p>
    <w:p w14:paraId="17E2151E" w14:textId="5E4A48E7" w:rsidR="008D7FDE" w:rsidRPr="00771D14" w:rsidRDefault="008561DC" w:rsidP="008D7FDE">
      <w:pPr>
        <w:tabs>
          <w:tab w:val="left" w:pos="2160"/>
        </w:tabs>
        <w:spacing w:after="200" w:line="276" w:lineRule="auto"/>
        <w:rPr>
          <w:rFonts w:ascii="Georgia" w:hAnsi="Georgia"/>
          <w:b/>
          <w:sz w:val="20"/>
          <w:szCs w:val="22"/>
          <w:lang w:val="en-GB"/>
        </w:rPr>
      </w:pPr>
      <w:r w:rsidRPr="00771D14">
        <w:rPr>
          <w:rFonts w:ascii="Georgia" w:hAnsi="Georgia"/>
          <w:b/>
          <w:sz w:val="20"/>
          <w:szCs w:val="22"/>
          <w:lang w:val="en-GB"/>
        </w:rPr>
        <w:t>Document No.:</w:t>
      </w:r>
      <w:r w:rsidRPr="00771D14">
        <w:rPr>
          <w:rFonts w:ascii="Georgia" w:hAnsi="Georgia"/>
          <w:b/>
          <w:sz w:val="20"/>
          <w:szCs w:val="22"/>
          <w:lang w:val="en-GB"/>
        </w:rPr>
        <w:tab/>
      </w:r>
      <w:r w:rsidR="008D7FDE" w:rsidRPr="00771D14">
        <w:rPr>
          <w:rFonts w:ascii="Georgia" w:hAnsi="Georgia"/>
          <w:sz w:val="20"/>
          <w:szCs w:val="22"/>
          <w:lang w:val="en-GB"/>
        </w:rPr>
        <w:t>WG-SWIMWAY 20-2/</w:t>
      </w:r>
      <w:r w:rsidR="007F758D" w:rsidRPr="00771D14">
        <w:rPr>
          <w:rFonts w:ascii="Georgia" w:hAnsi="Georgia"/>
          <w:sz w:val="20"/>
          <w:szCs w:val="22"/>
          <w:lang w:val="en-GB"/>
        </w:rPr>
        <w:t>7/2</w:t>
      </w:r>
    </w:p>
    <w:p w14:paraId="179E2ED1" w14:textId="1EFE4D2B" w:rsidR="008D7FDE" w:rsidRPr="00771D14" w:rsidRDefault="008D7FDE" w:rsidP="008D7FDE">
      <w:pPr>
        <w:tabs>
          <w:tab w:val="left" w:pos="2160"/>
        </w:tabs>
        <w:spacing w:after="200" w:line="276" w:lineRule="auto"/>
        <w:rPr>
          <w:rFonts w:ascii="Georgia" w:hAnsi="Georgia"/>
          <w:sz w:val="20"/>
          <w:szCs w:val="22"/>
          <w:lang w:val="en-GB"/>
        </w:rPr>
      </w:pPr>
      <w:r w:rsidRPr="00771D14">
        <w:rPr>
          <w:rFonts w:ascii="Georgia" w:hAnsi="Georgia"/>
          <w:b/>
          <w:sz w:val="20"/>
          <w:szCs w:val="22"/>
          <w:lang w:val="en-GB"/>
        </w:rPr>
        <w:t>Date:</w:t>
      </w:r>
      <w:r w:rsidRPr="00771D14">
        <w:rPr>
          <w:rFonts w:ascii="Georgia" w:hAnsi="Georgia"/>
          <w:b/>
          <w:sz w:val="20"/>
          <w:szCs w:val="22"/>
          <w:lang w:val="en-GB"/>
        </w:rPr>
        <w:tab/>
      </w:r>
      <w:r w:rsidR="00407A7A">
        <w:rPr>
          <w:rFonts w:ascii="Georgia" w:hAnsi="Georgia"/>
          <w:sz w:val="20"/>
          <w:szCs w:val="22"/>
          <w:lang w:val="en-GB"/>
        </w:rPr>
        <w:t>11</w:t>
      </w:r>
      <w:r w:rsidRPr="00771D14">
        <w:rPr>
          <w:rFonts w:ascii="Georgia" w:hAnsi="Georgia"/>
          <w:sz w:val="20"/>
          <w:szCs w:val="22"/>
          <w:lang w:val="en-GB"/>
        </w:rPr>
        <w:t xml:space="preserve"> June 2020</w:t>
      </w:r>
    </w:p>
    <w:p w14:paraId="7957C4CA" w14:textId="4154A471" w:rsidR="00E443B3" w:rsidRPr="00771D14" w:rsidRDefault="00E443B3" w:rsidP="00E443B3">
      <w:pPr>
        <w:pBdr>
          <w:bottom w:val="single" w:sz="6" w:space="1" w:color="auto"/>
        </w:pBdr>
        <w:tabs>
          <w:tab w:val="left" w:pos="0"/>
        </w:tabs>
        <w:spacing w:after="200" w:line="276" w:lineRule="auto"/>
        <w:rPr>
          <w:rFonts w:ascii="Georgia" w:hAnsi="Georgia"/>
          <w:b/>
          <w:sz w:val="20"/>
          <w:szCs w:val="22"/>
          <w:lang w:val="en-GB"/>
        </w:rPr>
      </w:pPr>
      <w:r w:rsidRPr="00771D14">
        <w:rPr>
          <w:rFonts w:ascii="Georgia" w:hAnsi="Georgia"/>
          <w:b/>
          <w:sz w:val="20"/>
          <w:szCs w:val="22"/>
          <w:lang w:val="en-GB"/>
        </w:rPr>
        <w:t>Submitted by:</w:t>
      </w:r>
      <w:r w:rsidRPr="00771D14">
        <w:rPr>
          <w:rFonts w:ascii="Georgia" w:hAnsi="Georgia"/>
          <w:b/>
          <w:sz w:val="20"/>
          <w:szCs w:val="22"/>
          <w:lang w:val="en-GB"/>
        </w:rPr>
        <w:tab/>
      </w:r>
      <w:r w:rsidRPr="00771D14">
        <w:rPr>
          <w:rFonts w:ascii="Georgia" w:hAnsi="Georgia"/>
          <w:b/>
          <w:sz w:val="20"/>
          <w:szCs w:val="22"/>
          <w:lang w:val="en-GB"/>
        </w:rPr>
        <w:tab/>
        <w:t>Adi Kellermann</w:t>
      </w:r>
      <w:r w:rsidR="00243C53">
        <w:rPr>
          <w:rFonts w:ascii="Georgia" w:hAnsi="Georgia"/>
          <w:b/>
          <w:sz w:val="20"/>
          <w:szCs w:val="22"/>
          <w:lang w:val="en-GB"/>
        </w:rPr>
        <w:t>, CWSS</w:t>
      </w:r>
    </w:p>
    <w:p w14:paraId="23AF9231" w14:textId="77777777" w:rsidR="008561DC" w:rsidRPr="00771D14"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245579EC" w14:textId="6A7C010C" w:rsidR="00BC5DAF" w:rsidRPr="00771D14" w:rsidRDefault="00BC5DAF" w:rsidP="00405581">
      <w:pPr>
        <w:pStyle w:val="Standardtext"/>
        <w:rPr>
          <w:lang w:val="en-GB" w:eastAsia="de-DE"/>
        </w:rPr>
      </w:pPr>
      <w:r w:rsidRPr="00771D14">
        <w:rPr>
          <w:lang w:val="en-GB" w:eastAsia="de-DE"/>
        </w:rPr>
        <w:t>The ad hoc Working Group SWIMWAY has been set up by the Wadden Sea Board (WSB)</w:t>
      </w:r>
      <w:r w:rsidR="003C124C" w:rsidRPr="00771D14">
        <w:rPr>
          <w:lang w:val="en-GB" w:eastAsia="de-DE"/>
        </w:rPr>
        <w:t xml:space="preserve"> at its 28</w:t>
      </w:r>
      <w:r w:rsidR="003C124C" w:rsidRPr="00771D14">
        <w:rPr>
          <w:vertAlign w:val="superscript"/>
          <w:lang w:val="en-GB" w:eastAsia="de-DE"/>
        </w:rPr>
        <w:t>th</w:t>
      </w:r>
      <w:r w:rsidR="003C124C" w:rsidRPr="00771D14">
        <w:rPr>
          <w:lang w:val="en-GB" w:eastAsia="de-DE"/>
        </w:rPr>
        <w:t xml:space="preserve"> meeting in March 2019</w:t>
      </w:r>
      <w:r w:rsidRPr="00771D14">
        <w:rPr>
          <w:lang w:val="en-GB" w:eastAsia="de-DE"/>
        </w:rPr>
        <w:t xml:space="preserve"> </w:t>
      </w:r>
      <w:r w:rsidR="003C124C" w:rsidRPr="00771D14">
        <w:rPr>
          <w:lang w:val="en-GB" w:eastAsia="de-DE"/>
        </w:rPr>
        <w:t xml:space="preserve">under the trilateral Task Group Management (TG-M) </w:t>
      </w:r>
      <w:r w:rsidRPr="00771D14">
        <w:rPr>
          <w:lang w:val="en-GB" w:eastAsia="de-DE"/>
        </w:rPr>
        <w:t>to initiate the SWIMWAY Vision and Action Programme 2019 – 2024.</w:t>
      </w:r>
    </w:p>
    <w:p w14:paraId="1C4EE576" w14:textId="63B1584B" w:rsidR="003C124C" w:rsidRPr="00771D14" w:rsidRDefault="00BC5DAF" w:rsidP="00405581">
      <w:pPr>
        <w:pStyle w:val="Standardtext"/>
        <w:rPr>
          <w:lang w:val="en-GB" w:eastAsia="de-DE"/>
        </w:rPr>
      </w:pPr>
      <w:r w:rsidRPr="00771D14">
        <w:rPr>
          <w:lang w:val="en-GB" w:eastAsia="de-DE"/>
        </w:rPr>
        <w:t xml:space="preserve">For 2020, a transformation of </w:t>
      </w:r>
      <w:r w:rsidR="003C124C" w:rsidRPr="00771D14">
        <w:rPr>
          <w:lang w:val="en-GB" w:eastAsia="de-DE"/>
        </w:rPr>
        <w:t xml:space="preserve">the WG </w:t>
      </w:r>
      <w:r w:rsidRPr="00771D14">
        <w:rPr>
          <w:lang w:val="en-GB" w:eastAsia="de-DE"/>
        </w:rPr>
        <w:t>SWIMWAY to a</w:t>
      </w:r>
      <w:r w:rsidR="003C124C" w:rsidRPr="00771D14">
        <w:rPr>
          <w:lang w:val="en-GB" w:eastAsia="de-DE"/>
        </w:rPr>
        <w:t xml:space="preserve"> permanent</w:t>
      </w:r>
      <w:r w:rsidRPr="00771D14">
        <w:rPr>
          <w:lang w:val="en-GB" w:eastAsia="de-DE"/>
        </w:rPr>
        <w:t xml:space="preserve"> Expert Group</w:t>
      </w:r>
      <w:r w:rsidR="003C124C" w:rsidRPr="00771D14">
        <w:rPr>
          <w:lang w:val="en-GB" w:eastAsia="de-DE"/>
        </w:rPr>
        <w:t xml:space="preserve"> (EG)</w:t>
      </w:r>
      <w:r w:rsidRPr="00771D14">
        <w:rPr>
          <w:lang w:val="en-GB" w:eastAsia="de-DE"/>
        </w:rPr>
        <w:t xml:space="preserve"> has been envisaged. </w:t>
      </w:r>
      <w:r w:rsidR="003C124C" w:rsidRPr="00771D14">
        <w:rPr>
          <w:lang w:val="en-GB" w:eastAsia="de-DE"/>
        </w:rPr>
        <w:t>Amongst the tasks of the ad hoc Working Group SWIMWAY is an elaboration of Terms of Reference (ToR) for such a possible EG</w:t>
      </w:r>
      <w:r w:rsidR="00A63C01" w:rsidRPr="00771D14">
        <w:rPr>
          <w:lang w:val="en-GB" w:eastAsia="de-DE"/>
        </w:rPr>
        <w:t xml:space="preserve"> on fish</w:t>
      </w:r>
      <w:r w:rsidR="003C124C" w:rsidRPr="00771D14">
        <w:rPr>
          <w:lang w:val="en-GB" w:eastAsia="de-DE"/>
        </w:rPr>
        <w:t xml:space="preserve">. </w:t>
      </w:r>
    </w:p>
    <w:p w14:paraId="4545EE01" w14:textId="2F74F99D" w:rsidR="00BC5DAF" w:rsidRPr="00243C53" w:rsidRDefault="003C124C" w:rsidP="00405581">
      <w:pPr>
        <w:pStyle w:val="Standardtext"/>
        <w:rPr>
          <w:lang w:val="en-GB" w:eastAsia="de-DE"/>
        </w:rPr>
      </w:pPr>
      <w:r w:rsidRPr="00771D14">
        <w:rPr>
          <w:lang w:val="en-GB" w:eastAsia="de-DE"/>
        </w:rPr>
        <w:t>T</w:t>
      </w:r>
      <w:r w:rsidR="00BC5DAF" w:rsidRPr="00771D14">
        <w:rPr>
          <w:lang w:val="en-GB" w:eastAsia="de-DE"/>
        </w:rPr>
        <w:t xml:space="preserve">he group is invited to discuss transformation to an Expert Group and </w:t>
      </w:r>
      <w:r w:rsidR="00BC5DAF" w:rsidRPr="00243C53">
        <w:rPr>
          <w:lang w:val="en-GB" w:eastAsia="de-DE"/>
        </w:rPr>
        <w:t xml:space="preserve">the respective </w:t>
      </w:r>
      <w:r w:rsidR="00A63C01" w:rsidRPr="00243C53">
        <w:rPr>
          <w:lang w:val="en-GB" w:eastAsia="de-DE"/>
        </w:rPr>
        <w:t>ToR</w:t>
      </w:r>
      <w:r w:rsidR="00BC5DAF" w:rsidRPr="00243C53">
        <w:rPr>
          <w:lang w:val="en-GB" w:eastAsia="de-DE"/>
        </w:rPr>
        <w:t xml:space="preserve">, also under consideration of the </w:t>
      </w:r>
      <w:hyperlink r:id="rId9" w:history="1">
        <w:r w:rsidR="00BC5DAF" w:rsidRPr="00243C53">
          <w:rPr>
            <w:rStyle w:val="Hyperlink"/>
            <w:lang w:val="en-GB" w:eastAsia="de-DE"/>
          </w:rPr>
          <w:t xml:space="preserve">conference report </w:t>
        </w:r>
        <w:r w:rsidR="0011697F" w:rsidRPr="00243C53">
          <w:rPr>
            <w:rStyle w:val="Hyperlink"/>
            <w:lang w:val="en-GB" w:eastAsia="de-DE"/>
          </w:rPr>
          <w:t>SWIMWAYs: Understanding connectivity within the life cycles of coastal fish</w:t>
        </w:r>
      </w:hyperlink>
      <w:r w:rsidR="0011697F" w:rsidRPr="00243C53">
        <w:rPr>
          <w:lang w:val="en-GB" w:eastAsia="de-DE"/>
        </w:rPr>
        <w:t xml:space="preserve"> </w:t>
      </w:r>
      <w:r w:rsidR="00BC5DAF" w:rsidRPr="00243C53">
        <w:rPr>
          <w:lang w:val="en-GB" w:eastAsia="de-DE"/>
        </w:rPr>
        <w:t>and monitoring report (WG-SWIMWAY20-2-6).</w:t>
      </w:r>
    </w:p>
    <w:p w14:paraId="0405532F" w14:textId="4C1CC188" w:rsidR="001E4032" w:rsidRPr="00243C53" w:rsidRDefault="00DC630A" w:rsidP="00405581">
      <w:pPr>
        <w:pStyle w:val="Standardtext"/>
        <w:rPr>
          <w:lang w:val="en-GB" w:eastAsia="de-DE"/>
        </w:rPr>
      </w:pPr>
      <w:r w:rsidRPr="00243C53">
        <w:rPr>
          <w:lang w:val="en-GB" w:eastAsia="de-DE"/>
        </w:rPr>
        <w:t>This document contains</w:t>
      </w:r>
      <w:r w:rsidR="001E4032" w:rsidRPr="00243C53">
        <w:rPr>
          <w:lang w:val="en-GB" w:eastAsia="de-DE"/>
        </w:rPr>
        <w:t xml:space="preserve"> a memo of the chairperson (Adi Kellermann)</w:t>
      </w:r>
      <w:r w:rsidR="00A63C01" w:rsidRPr="00243C53">
        <w:rPr>
          <w:lang w:val="en-GB" w:eastAsia="de-DE"/>
        </w:rPr>
        <w:t xml:space="preserve"> &amp; CWSS </w:t>
      </w:r>
      <w:r w:rsidR="001E4032" w:rsidRPr="00243C53">
        <w:rPr>
          <w:lang w:val="en-GB" w:eastAsia="de-DE"/>
        </w:rPr>
        <w:t>on the future constituency</w:t>
      </w:r>
      <w:r w:rsidR="00A63C01" w:rsidRPr="00243C53">
        <w:rPr>
          <w:lang w:val="en-GB" w:eastAsia="de-DE"/>
        </w:rPr>
        <w:t>, ToR of the ad hoc WG-SWIMAY (ANNEX 1)</w:t>
      </w:r>
      <w:r w:rsidR="00243C53">
        <w:rPr>
          <w:lang w:val="en-GB" w:eastAsia="de-DE"/>
        </w:rPr>
        <w:t>.</w:t>
      </w:r>
    </w:p>
    <w:p w14:paraId="12AE0182" w14:textId="387CA242" w:rsidR="00262AFA" w:rsidRPr="00243C53" w:rsidRDefault="00262AFA" w:rsidP="008561DC">
      <w:pPr>
        <w:pStyle w:val="Header"/>
        <w:tabs>
          <w:tab w:val="clear" w:pos="4703"/>
          <w:tab w:val="clear" w:pos="9406"/>
        </w:tabs>
        <w:spacing w:after="200" w:line="276" w:lineRule="auto"/>
        <w:rPr>
          <w:rFonts w:ascii="Georgia" w:hAnsi="Georgia"/>
          <w:sz w:val="20"/>
          <w:szCs w:val="22"/>
          <w:lang w:val="en-GB" w:eastAsia="de-DE"/>
        </w:rPr>
      </w:pPr>
    </w:p>
    <w:p w14:paraId="6B8E1054" w14:textId="77777777" w:rsidR="008561DC" w:rsidRPr="00243C53"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6AE4C597" w:rsidR="008561DC" w:rsidRPr="00771D14" w:rsidRDefault="008561DC" w:rsidP="008561DC">
      <w:pPr>
        <w:spacing w:after="120" w:line="276" w:lineRule="auto"/>
        <w:rPr>
          <w:rFonts w:ascii="Georgia" w:hAnsi="Georgia"/>
          <w:sz w:val="22"/>
          <w:szCs w:val="22"/>
          <w:lang w:val="en-GB"/>
        </w:rPr>
      </w:pPr>
      <w:r w:rsidRPr="00243C53">
        <w:rPr>
          <w:rFonts w:ascii="Georgia" w:hAnsi="Georgia"/>
          <w:b/>
          <w:bCs/>
          <w:sz w:val="22"/>
          <w:szCs w:val="22"/>
          <w:lang w:val="en-GB"/>
        </w:rPr>
        <w:t>Proposal:</w:t>
      </w:r>
      <w:r w:rsidRPr="00243C53">
        <w:rPr>
          <w:rFonts w:ascii="Georgia" w:hAnsi="Georgia"/>
          <w:b/>
          <w:bCs/>
          <w:sz w:val="22"/>
          <w:szCs w:val="22"/>
          <w:lang w:val="en-GB"/>
        </w:rPr>
        <w:tab/>
      </w:r>
      <w:r w:rsidR="00CD0E61" w:rsidRPr="00243C53">
        <w:rPr>
          <w:rFonts w:ascii="Georgia" w:hAnsi="Georgia"/>
          <w:sz w:val="22"/>
          <w:szCs w:val="22"/>
          <w:lang w:val="en-GB"/>
        </w:rPr>
        <w:t>The group</w:t>
      </w:r>
      <w:r w:rsidRPr="00243C53">
        <w:rPr>
          <w:rFonts w:ascii="Georgia" w:hAnsi="Georgia"/>
          <w:sz w:val="22"/>
          <w:szCs w:val="22"/>
          <w:lang w:val="en-GB"/>
        </w:rPr>
        <w:t xml:space="preserve"> is invited to</w:t>
      </w:r>
      <w:r w:rsidR="00A63C01" w:rsidRPr="00243C53">
        <w:rPr>
          <w:lang w:val="en-GB"/>
        </w:rPr>
        <w:t xml:space="preserve"> </w:t>
      </w:r>
      <w:r w:rsidR="00A63C01" w:rsidRPr="00243C53">
        <w:rPr>
          <w:rFonts w:ascii="Georgia" w:hAnsi="Georgia"/>
          <w:sz w:val="22"/>
          <w:szCs w:val="22"/>
          <w:lang w:val="en-GB"/>
        </w:rPr>
        <w:t>discuss and consider</w:t>
      </w:r>
      <w:r w:rsidR="00243C53">
        <w:rPr>
          <w:rFonts w:ascii="Georgia" w:hAnsi="Georgia"/>
          <w:sz w:val="22"/>
          <w:szCs w:val="22"/>
          <w:lang w:val="en-GB"/>
        </w:rPr>
        <w:t xml:space="preserve"> </w:t>
      </w:r>
      <w:bookmarkStart w:id="0" w:name="_Hlk42782682"/>
      <w:r w:rsidR="00243C53">
        <w:rPr>
          <w:rFonts w:ascii="Georgia" w:hAnsi="Georgia"/>
          <w:sz w:val="22"/>
          <w:szCs w:val="22"/>
          <w:lang w:val="en-GB"/>
        </w:rPr>
        <w:t xml:space="preserve">tasks for Tor and constituency </w:t>
      </w:r>
      <w:bookmarkEnd w:id="0"/>
    </w:p>
    <w:p w14:paraId="1E50575E" w14:textId="00B0E10E" w:rsidR="00EE211D" w:rsidRPr="00771D14" w:rsidRDefault="00EE211D" w:rsidP="00E974A5">
      <w:pPr>
        <w:tabs>
          <w:tab w:val="left" w:pos="142"/>
        </w:tabs>
        <w:spacing w:after="200" w:line="276" w:lineRule="auto"/>
        <w:rPr>
          <w:lang w:val="en-GB"/>
        </w:rPr>
      </w:pPr>
      <w:r w:rsidRPr="00771D14">
        <w:rPr>
          <w:lang w:val="en-GB"/>
        </w:rPr>
        <w:br w:type="page"/>
      </w:r>
    </w:p>
    <w:p w14:paraId="10D95CAA" w14:textId="77777777" w:rsidR="00E443B3" w:rsidRPr="00771D14" w:rsidRDefault="00E443B3" w:rsidP="00E8582C">
      <w:pPr>
        <w:pStyle w:val="Heading2"/>
        <w:rPr>
          <w:b w:val="0"/>
          <w:sz w:val="28"/>
          <w:lang w:val="en-GB"/>
        </w:rPr>
      </w:pPr>
      <w:r w:rsidRPr="00771D14">
        <w:rPr>
          <w:b w:val="0"/>
          <w:sz w:val="28"/>
          <w:lang w:val="en-GB"/>
        </w:rPr>
        <w:lastRenderedPageBreak/>
        <w:t>Constituency and ToR for the future SWIMWAY group</w:t>
      </w:r>
    </w:p>
    <w:p w14:paraId="501D72AD" w14:textId="7A562BB9" w:rsidR="00E8582C" w:rsidRPr="00771D14" w:rsidRDefault="00183331" w:rsidP="00E8582C">
      <w:pPr>
        <w:pStyle w:val="Heading2"/>
        <w:rPr>
          <w:lang w:val="en-GB"/>
        </w:rPr>
      </w:pPr>
      <w:r w:rsidRPr="00771D14">
        <w:rPr>
          <w:lang w:val="en-GB"/>
        </w:rPr>
        <w:t>B</w:t>
      </w:r>
      <w:r w:rsidR="00E443B3" w:rsidRPr="00771D14">
        <w:rPr>
          <w:lang w:val="en-GB"/>
        </w:rPr>
        <w:t>ackground</w:t>
      </w:r>
    </w:p>
    <w:p w14:paraId="7A5C5834" w14:textId="77777777" w:rsidR="003B33CA" w:rsidRDefault="00705BCD" w:rsidP="00405581">
      <w:pPr>
        <w:pStyle w:val="Standardtext"/>
        <w:rPr>
          <w:lang w:val="en-GB"/>
        </w:rPr>
      </w:pPr>
      <w:r w:rsidRPr="00771D14">
        <w:rPr>
          <w:lang w:val="en-GB"/>
        </w:rPr>
        <w:t xml:space="preserve">The current status of the SWIMWAY group is that of an ad-hoc working group under the Trilateral Wadden Sea Cooperation´s (TWSC) Task Group Management (TG-M). It is staffed by governmental (and freelance) research institutes, administrations and regional management authorities and with representatives from NGOs, all from the three TWSC countries. Additional SWIMWAY supporters are regularly invited as guests. </w:t>
      </w:r>
    </w:p>
    <w:p w14:paraId="01115BCA" w14:textId="657D1B6D" w:rsidR="00E443B3" w:rsidRPr="00771D14" w:rsidRDefault="00705BCD" w:rsidP="00405581">
      <w:pPr>
        <w:pStyle w:val="Standardtext"/>
        <w:rPr>
          <w:lang w:val="en-GB"/>
        </w:rPr>
      </w:pPr>
      <w:r w:rsidRPr="00771D14">
        <w:rPr>
          <w:lang w:val="en-GB"/>
        </w:rPr>
        <w:t xml:space="preserve">The group was installed with a clear instruction to take appropriate action to approach the trilateral fish targets of the </w:t>
      </w:r>
      <w:r w:rsidR="003B33CA">
        <w:rPr>
          <w:lang w:val="en-GB"/>
        </w:rPr>
        <w:t>Wadden Sea Plan (</w:t>
      </w:r>
      <w:r w:rsidRPr="00771D14">
        <w:rPr>
          <w:lang w:val="en-GB"/>
        </w:rPr>
        <w:t>WSP</w:t>
      </w:r>
      <w:r w:rsidR="003B33CA">
        <w:rPr>
          <w:lang w:val="en-GB"/>
        </w:rPr>
        <w:t>) 2010</w:t>
      </w:r>
      <w:r w:rsidRPr="00771D14">
        <w:rPr>
          <w:lang w:val="en-GB"/>
        </w:rPr>
        <w:t xml:space="preserve"> and to improve the conservation status of fish spending at least part of their life cycle in the Wadden Sea</w:t>
      </w:r>
      <w:r w:rsidR="00CF140E" w:rsidRPr="00771D14">
        <w:rPr>
          <w:lang w:val="en-GB"/>
        </w:rPr>
        <w:t xml:space="preserve"> (by initiating the SWIMWAY Vision and Action Programme; compare T</w:t>
      </w:r>
      <w:r w:rsidR="003B33CA">
        <w:rPr>
          <w:lang w:val="en-GB"/>
        </w:rPr>
        <w:t>erms of Reference in</w:t>
      </w:r>
      <w:r w:rsidR="00CF140E" w:rsidRPr="00771D14">
        <w:rPr>
          <w:lang w:val="en-GB"/>
        </w:rPr>
        <w:t xml:space="preserve"> ANNEX 1)</w:t>
      </w:r>
      <w:r w:rsidRPr="00771D14">
        <w:rPr>
          <w:lang w:val="en-GB"/>
        </w:rPr>
        <w:t>. From 2020, the ad hoc WG SWIMWAY may be transferred to a trilateral Expert Group (EG) on fish.</w:t>
      </w:r>
    </w:p>
    <w:p w14:paraId="518249D4" w14:textId="36C34C5D" w:rsidR="00E443B3" w:rsidRPr="00771D14" w:rsidRDefault="00E443B3" w:rsidP="00405581">
      <w:pPr>
        <w:pStyle w:val="Standardtext"/>
        <w:rPr>
          <w:lang w:val="en-GB"/>
        </w:rPr>
      </w:pPr>
      <w:r w:rsidRPr="00771D14">
        <w:rPr>
          <w:lang w:val="en-GB"/>
        </w:rPr>
        <w:t xml:space="preserve">The group has thus been instructed to develop </w:t>
      </w:r>
      <w:r w:rsidR="00705BCD" w:rsidRPr="00771D14">
        <w:rPr>
          <w:lang w:val="en-GB"/>
        </w:rPr>
        <w:t>Terms of Reference (</w:t>
      </w:r>
      <w:r w:rsidRPr="00771D14">
        <w:rPr>
          <w:lang w:val="en-GB"/>
        </w:rPr>
        <w:t>ToRs</w:t>
      </w:r>
      <w:r w:rsidR="00705BCD" w:rsidRPr="00771D14">
        <w:rPr>
          <w:lang w:val="en-GB"/>
        </w:rPr>
        <w:t>)</w:t>
      </w:r>
      <w:r w:rsidRPr="00771D14">
        <w:rPr>
          <w:lang w:val="en-GB"/>
        </w:rPr>
        <w:t xml:space="preserve"> </w:t>
      </w:r>
      <w:r w:rsidR="00CF140E" w:rsidRPr="00771D14">
        <w:rPr>
          <w:lang w:val="en-GB"/>
        </w:rPr>
        <w:t xml:space="preserve">(Tasks, ANNEX 1) </w:t>
      </w:r>
      <w:r w:rsidRPr="00771D14">
        <w:rPr>
          <w:lang w:val="en-GB"/>
        </w:rPr>
        <w:t>and as a consequence consider its constituency as required</w:t>
      </w:r>
      <w:r w:rsidR="00705BCD" w:rsidRPr="00771D14">
        <w:rPr>
          <w:lang w:val="en-GB"/>
        </w:rPr>
        <w:t>.</w:t>
      </w:r>
    </w:p>
    <w:p w14:paraId="61E073AA" w14:textId="77777777" w:rsidR="00C42785" w:rsidRPr="00771D14" w:rsidRDefault="00C42785" w:rsidP="00C42785">
      <w:pPr>
        <w:pStyle w:val="Heading2"/>
        <w:rPr>
          <w:lang w:val="en-GB"/>
        </w:rPr>
      </w:pPr>
      <w:r w:rsidRPr="00771D14">
        <w:rPr>
          <w:lang w:val="en-GB"/>
        </w:rPr>
        <w:t>TWSC Group structure</w:t>
      </w:r>
    </w:p>
    <w:p w14:paraId="4B1A39FE" w14:textId="13C5A667" w:rsidR="00243C53" w:rsidRDefault="003B33CA" w:rsidP="00405581">
      <w:pPr>
        <w:pStyle w:val="Standardtext"/>
        <w:rPr>
          <w:lang w:val="en-GB"/>
        </w:rPr>
      </w:pPr>
      <w:r>
        <w:rPr>
          <w:lang w:val="en-GB"/>
        </w:rPr>
        <w:t>Following an outline presented at the Wadden Sea Board (WSB) meeting 28 (</w:t>
      </w:r>
      <w:r w:rsidRPr="003B33CA">
        <w:rPr>
          <w:lang w:val="en-GB"/>
        </w:rPr>
        <w:t>WSB-28-7-1-1</w:t>
      </w:r>
      <w:r>
        <w:rPr>
          <w:lang w:val="en-GB"/>
        </w:rPr>
        <w:t>), t</w:t>
      </w:r>
      <w:r w:rsidR="00C42785" w:rsidRPr="00771D14">
        <w:rPr>
          <w:lang w:val="en-GB"/>
        </w:rPr>
        <w:t xml:space="preserve">rilateral Expert Groups are generally long-term or permanent technical groups – exceptions are allowed. </w:t>
      </w:r>
    </w:p>
    <w:p w14:paraId="65F14259" w14:textId="6B1CCE10" w:rsidR="00C42785" w:rsidRPr="00771D14" w:rsidRDefault="00AB4063" w:rsidP="00405581">
      <w:pPr>
        <w:pStyle w:val="Standardtext"/>
        <w:rPr>
          <w:lang w:val="en-GB"/>
        </w:rPr>
      </w:pPr>
      <w:r w:rsidRPr="00771D14">
        <w:rPr>
          <w:lang w:val="en-GB"/>
        </w:rPr>
        <w:t>T</w:t>
      </w:r>
      <w:r w:rsidR="00C42785" w:rsidRPr="00771D14">
        <w:rPr>
          <w:lang w:val="en-GB"/>
        </w:rPr>
        <w:t>hey have operational and advising tasks and</w:t>
      </w:r>
    </w:p>
    <w:p w14:paraId="42A6090E" w14:textId="7F6E6F5A" w:rsidR="00C42785" w:rsidRPr="00771D14" w:rsidRDefault="00C42785" w:rsidP="00243C53">
      <w:pPr>
        <w:pStyle w:val="Standardtext"/>
        <w:ind w:left="720"/>
        <w:rPr>
          <w:lang w:val="en-GB"/>
        </w:rPr>
      </w:pPr>
      <w:r w:rsidRPr="00771D14">
        <w:rPr>
          <w:lang w:val="en-GB"/>
        </w:rPr>
        <w:t xml:space="preserve">a. report to the Common Wadden Sea Secretariat (CWSS) – WSB may allow exceptions; EGs are also connected or in some cases report to relevant TGs; </w:t>
      </w:r>
    </w:p>
    <w:p w14:paraId="76B62B2F" w14:textId="77777777" w:rsidR="00C42785" w:rsidRPr="00771D14" w:rsidRDefault="00C42785" w:rsidP="00243C53">
      <w:pPr>
        <w:pStyle w:val="Standardtext"/>
        <w:ind w:firstLine="720"/>
        <w:rPr>
          <w:lang w:val="en-GB"/>
        </w:rPr>
      </w:pPr>
      <w:r w:rsidRPr="00771D14">
        <w:rPr>
          <w:lang w:val="en-GB"/>
        </w:rPr>
        <w:t>b. are chaired by CWSS staff or a group member;</w:t>
      </w:r>
    </w:p>
    <w:p w14:paraId="45A3A6C1" w14:textId="77777777" w:rsidR="00C42785" w:rsidRPr="00771D14" w:rsidRDefault="00C42785" w:rsidP="00243C53">
      <w:pPr>
        <w:pStyle w:val="Standardtext"/>
        <w:ind w:firstLine="720"/>
        <w:rPr>
          <w:lang w:val="en-GB"/>
        </w:rPr>
      </w:pPr>
      <w:r w:rsidRPr="00771D14">
        <w:rPr>
          <w:lang w:val="en-GB"/>
        </w:rPr>
        <w:t>c. are (in principle, but not necessarily) permanent;</w:t>
      </w:r>
    </w:p>
    <w:p w14:paraId="7D4B2D8D" w14:textId="4AB2D2BF" w:rsidR="00C42785" w:rsidRPr="00771D14" w:rsidRDefault="00C42785" w:rsidP="00243C53">
      <w:pPr>
        <w:pStyle w:val="Standardtext"/>
        <w:ind w:firstLine="720"/>
        <w:rPr>
          <w:lang w:val="en-GB"/>
        </w:rPr>
      </w:pPr>
      <w:r w:rsidRPr="00771D14">
        <w:rPr>
          <w:lang w:val="en-GB"/>
        </w:rPr>
        <w:t>d. have the opportunity to report annually to WSB</w:t>
      </w:r>
    </w:p>
    <w:p w14:paraId="57719A46" w14:textId="23CC7994" w:rsidR="00C42785" w:rsidRPr="00771D14" w:rsidRDefault="00C42785" w:rsidP="00405581">
      <w:pPr>
        <w:pStyle w:val="Standardtext"/>
        <w:rPr>
          <w:lang w:val="en-GB"/>
        </w:rPr>
      </w:pPr>
      <w:r w:rsidRPr="00771D14">
        <w:rPr>
          <w:lang w:val="en-GB"/>
        </w:rPr>
        <w:t xml:space="preserve">Task Groups are generally policy task groups, while Expert Groups </w:t>
      </w:r>
      <w:r w:rsidR="0049221D" w:rsidRPr="00771D14">
        <w:rPr>
          <w:lang w:val="en-GB"/>
        </w:rPr>
        <w:t xml:space="preserve">report management and – or monitoring matters to TG-M and </w:t>
      </w:r>
      <w:r w:rsidR="00AB4063" w:rsidRPr="00771D14">
        <w:rPr>
          <w:lang w:val="en-GB"/>
        </w:rPr>
        <w:t xml:space="preserve">the Task Group </w:t>
      </w:r>
      <w:r w:rsidR="0049221D" w:rsidRPr="00771D14">
        <w:rPr>
          <w:lang w:val="en-GB"/>
        </w:rPr>
        <w:t xml:space="preserve">Monitoring and Assessment (TG-MA). </w:t>
      </w:r>
    </w:p>
    <w:p w14:paraId="7C494684" w14:textId="77777777" w:rsidR="00C42785" w:rsidRPr="00771D14" w:rsidRDefault="00C42785" w:rsidP="00C42785">
      <w:pPr>
        <w:rPr>
          <w:rFonts w:ascii="Georgia" w:hAnsi="Georgia"/>
          <w:sz w:val="20"/>
          <w:szCs w:val="22"/>
          <w:lang w:val="en-GB"/>
        </w:rPr>
      </w:pPr>
    </w:p>
    <w:p w14:paraId="534D1AC0" w14:textId="77777777" w:rsidR="00E443B3" w:rsidRPr="00771D14" w:rsidRDefault="00E443B3" w:rsidP="00E443B3">
      <w:pPr>
        <w:pStyle w:val="Heading2"/>
        <w:rPr>
          <w:lang w:val="en-GB"/>
        </w:rPr>
      </w:pPr>
      <w:r w:rsidRPr="00771D14">
        <w:rPr>
          <w:lang w:val="en-GB"/>
        </w:rPr>
        <w:t>ToR and tasks</w:t>
      </w:r>
    </w:p>
    <w:p w14:paraId="6F22091F" w14:textId="7C3371DF" w:rsidR="008B3B88" w:rsidRDefault="00E443B3" w:rsidP="00405581">
      <w:pPr>
        <w:pStyle w:val="Standardtext"/>
        <w:rPr>
          <w:szCs w:val="20"/>
          <w:lang w:val="en-GB"/>
        </w:rPr>
      </w:pPr>
      <w:r w:rsidRPr="00771D14">
        <w:rPr>
          <w:lang w:val="en-GB"/>
        </w:rPr>
        <w:t>The group has carried out a broad scientific discussion of the issues of concern around Wadden Sea fish at the</w:t>
      </w:r>
      <w:r w:rsidR="00705BCD" w:rsidRPr="00771D14">
        <w:rPr>
          <w:lang w:val="en-GB"/>
        </w:rPr>
        <w:t xml:space="preserve"> conference SWIMWAYs: Understanding connectivity within the life cycles of coastal fish in</w:t>
      </w:r>
      <w:r w:rsidRPr="00771D14">
        <w:rPr>
          <w:lang w:val="en-GB"/>
        </w:rPr>
        <w:t xml:space="preserve"> Hamburg 2019</w:t>
      </w:r>
      <w:r w:rsidRPr="00771D14">
        <w:rPr>
          <w:szCs w:val="20"/>
          <w:lang w:val="en-GB"/>
        </w:rPr>
        <w:t xml:space="preserve">. </w:t>
      </w:r>
      <w:r w:rsidR="00482B03" w:rsidRPr="00771D14">
        <w:rPr>
          <w:szCs w:val="20"/>
          <w:lang w:val="en-GB"/>
        </w:rPr>
        <w:t xml:space="preserve">The most important step would be the installation of a permanent Fish Expert Group </w:t>
      </w:r>
      <w:r w:rsidR="009C34B4" w:rsidRPr="009C34B4">
        <w:rPr>
          <w:szCs w:val="20"/>
          <w:lang w:val="en-GB"/>
        </w:rPr>
        <w:t>with carefully selected members and well-defined terms of reference</w:t>
      </w:r>
      <w:r w:rsidR="009C34B4" w:rsidRPr="00771D14">
        <w:rPr>
          <w:szCs w:val="20"/>
          <w:lang w:val="en-GB"/>
        </w:rPr>
        <w:t xml:space="preserve"> </w:t>
      </w:r>
      <w:r w:rsidR="00482B03" w:rsidRPr="00771D14">
        <w:rPr>
          <w:szCs w:val="20"/>
          <w:lang w:val="en-GB"/>
        </w:rPr>
        <w:t>to oversee the process in the long term</w:t>
      </w:r>
      <w:r w:rsidR="00405581" w:rsidRPr="00771D14">
        <w:rPr>
          <w:szCs w:val="20"/>
          <w:lang w:val="en-GB"/>
        </w:rPr>
        <w:t xml:space="preserve"> and to keep SWIMWAY capable of acting</w:t>
      </w:r>
      <w:r w:rsidR="00482B03" w:rsidRPr="00771D14">
        <w:rPr>
          <w:szCs w:val="20"/>
          <w:lang w:val="en-GB"/>
        </w:rPr>
        <w:t>. Given that SWIM</w:t>
      </w:r>
      <w:r w:rsidR="00CF140E" w:rsidRPr="00771D14">
        <w:rPr>
          <w:szCs w:val="20"/>
          <w:lang w:val="en-GB"/>
        </w:rPr>
        <w:t>W</w:t>
      </w:r>
      <w:r w:rsidR="00482B03" w:rsidRPr="00771D14">
        <w:rPr>
          <w:szCs w:val="20"/>
          <w:lang w:val="en-GB"/>
        </w:rPr>
        <w:t xml:space="preserve">AY is already established as kind of brand, the new group should keep this name. </w:t>
      </w:r>
    </w:p>
    <w:p w14:paraId="39768AE1" w14:textId="397E484A" w:rsidR="003B33CA" w:rsidRPr="00771D14" w:rsidRDefault="003B33CA" w:rsidP="003B33CA">
      <w:pPr>
        <w:pStyle w:val="Standardtext"/>
        <w:rPr>
          <w:lang w:val="en-GB"/>
        </w:rPr>
      </w:pPr>
      <w:r w:rsidRPr="00771D14">
        <w:rPr>
          <w:lang w:val="en-GB"/>
        </w:rPr>
        <w:t xml:space="preserve">In addition, the group has developed a sound basis for recommendations to policy makers, and it has produced a comprehensive </w:t>
      </w:r>
      <w:r w:rsidRPr="00771D14">
        <w:rPr>
          <w:szCs w:val="20"/>
          <w:lang w:val="en-GB"/>
        </w:rPr>
        <w:t>overview of fish monitoring programmes in the Wadden Sea.</w:t>
      </w:r>
      <w:r w:rsidRPr="00771D14">
        <w:rPr>
          <w:lang w:val="en-GB"/>
        </w:rPr>
        <w:t xml:space="preserve"> </w:t>
      </w:r>
      <w:bookmarkStart w:id="1" w:name="_Hlk42685047"/>
      <w:r w:rsidRPr="00771D14">
        <w:rPr>
          <w:lang w:val="en-GB"/>
        </w:rPr>
        <w:t>Next steps for a trilateral group are recommended in the trilateral fish monitoring report (WG-SWIMWAY</w:t>
      </w:r>
      <w:r w:rsidR="00C8481B">
        <w:rPr>
          <w:lang w:val="en-GB"/>
        </w:rPr>
        <w:t xml:space="preserve"> </w:t>
      </w:r>
      <w:r w:rsidRPr="00771D14">
        <w:rPr>
          <w:lang w:val="en-GB"/>
        </w:rPr>
        <w:t>20-2-6)</w:t>
      </w:r>
      <w:bookmarkEnd w:id="1"/>
      <w:r w:rsidRPr="00771D14">
        <w:rPr>
          <w:lang w:val="en-GB"/>
        </w:rPr>
        <w:t>:</w:t>
      </w:r>
    </w:p>
    <w:p w14:paraId="5D8459D1" w14:textId="77777777" w:rsidR="003B33CA" w:rsidRPr="00771D14" w:rsidRDefault="003B33CA" w:rsidP="00405581">
      <w:pPr>
        <w:pStyle w:val="Standardtext"/>
        <w:rPr>
          <w:szCs w:val="20"/>
          <w:lang w:val="en-GB"/>
        </w:rPr>
      </w:pPr>
    </w:p>
    <w:p w14:paraId="31DC619D" w14:textId="77777777" w:rsidR="00243C53" w:rsidRDefault="00243C53" w:rsidP="00405581">
      <w:pPr>
        <w:pStyle w:val="Standardtext"/>
        <w:rPr>
          <w:szCs w:val="20"/>
          <w:lang w:val="en-GB"/>
        </w:rPr>
      </w:pPr>
      <w:r>
        <w:rPr>
          <w:szCs w:val="20"/>
          <w:lang w:val="en-GB"/>
        </w:rPr>
        <w:br w:type="page"/>
      </w:r>
    </w:p>
    <w:p w14:paraId="50081137" w14:textId="3DB3B2BA" w:rsidR="00E443B3" w:rsidRDefault="00E443B3" w:rsidP="00405581">
      <w:pPr>
        <w:pStyle w:val="Standardtext"/>
        <w:rPr>
          <w:szCs w:val="20"/>
          <w:lang w:val="en-GB"/>
        </w:rPr>
      </w:pPr>
      <w:r w:rsidRPr="00771D14">
        <w:rPr>
          <w:szCs w:val="20"/>
          <w:lang w:val="en-GB"/>
        </w:rPr>
        <w:lastRenderedPageBreak/>
        <w:t xml:space="preserve">The future work of the group under the TWSC </w:t>
      </w:r>
      <w:r w:rsidR="003B33CA">
        <w:rPr>
          <w:szCs w:val="20"/>
          <w:lang w:val="en-GB"/>
        </w:rPr>
        <w:t>under consideration of recommendations may</w:t>
      </w:r>
      <w:r w:rsidR="003B33CA" w:rsidRPr="00771D14">
        <w:rPr>
          <w:szCs w:val="20"/>
          <w:lang w:val="en-GB"/>
        </w:rPr>
        <w:t xml:space="preserve"> </w:t>
      </w:r>
      <w:r w:rsidRPr="00771D14">
        <w:rPr>
          <w:szCs w:val="20"/>
          <w:lang w:val="en-GB"/>
        </w:rPr>
        <w:t>comprise:</w:t>
      </w:r>
    </w:p>
    <w:tbl>
      <w:tblPr>
        <w:tblW w:w="9498" w:type="dxa"/>
        <w:tblInd w:w="108" w:type="dxa"/>
        <w:tblLook w:val="04A0" w:firstRow="1" w:lastRow="0" w:firstColumn="1" w:lastColumn="0" w:noHBand="0" w:noVBand="1"/>
      </w:tblPr>
      <w:tblGrid>
        <w:gridCol w:w="4536"/>
        <w:gridCol w:w="4962"/>
      </w:tblGrid>
      <w:tr w:rsidR="00FD18C2" w:rsidRPr="001A5AB5" w14:paraId="3746EFAC" w14:textId="77777777" w:rsidTr="004007EE">
        <w:trPr>
          <w:trHeight w:val="300"/>
        </w:trPr>
        <w:tc>
          <w:tcPr>
            <w:tcW w:w="4536" w:type="dxa"/>
            <w:tcBorders>
              <w:top w:val="nil"/>
              <w:left w:val="nil"/>
              <w:bottom w:val="nil"/>
              <w:right w:val="nil"/>
            </w:tcBorders>
            <w:shd w:val="clear" w:color="000000" w:fill="0078B6"/>
            <w:hideMark/>
          </w:tcPr>
          <w:p w14:paraId="1E07BCEE" w14:textId="66461CBC" w:rsidR="00FD18C2" w:rsidRPr="00FD18C2" w:rsidRDefault="00FD18C2" w:rsidP="00487405">
            <w:pPr>
              <w:rPr>
                <w:rFonts w:ascii="Arial" w:hAnsi="Arial" w:cs="Arial"/>
                <w:b/>
                <w:bCs/>
                <w:color w:val="FFFFFF"/>
                <w:sz w:val="20"/>
                <w:szCs w:val="20"/>
              </w:rPr>
            </w:pPr>
            <w:r w:rsidRPr="00FD18C2">
              <w:rPr>
                <w:rFonts w:ascii="Arial" w:hAnsi="Arial" w:cs="Arial"/>
                <w:b/>
                <w:bCs/>
                <w:color w:val="FFFFFF"/>
                <w:sz w:val="20"/>
                <w:szCs w:val="20"/>
              </w:rPr>
              <w:t>ToR for EG may compr</w:t>
            </w:r>
            <w:r>
              <w:rPr>
                <w:rFonts w:ascii="Arial" w:hAnsi="Arial" w:cs="Arial"/>
                <w:b/>
                <w:bCs/>
                <w:color w:val="FFFFFF"/>
                <w:sz w:val="20"/>
                <w:szCs w:val="20"/>
              </w:rPr>
              <w:t>ise:</w:t>
            </w:r>
          </w:p>
        </w:tc>
        <w:tc>
          <w:tcPr>
            <w:tcW w:w="4962" w:type="dxa"/>
            <w:tcBorders>
              <w:top w:val="nil"/>
              <w:left w:val="nil"/>
              <w:bottom w:val="nil"/>
              <w:right w:val="nil"/>
            </w:tcBorders>
            <w:shd w:val="clear" w:color="000000" w:fill="0078B6"/>
            <w:hideMark/>
          </w:tcPr>
          <w:p w14:paraId="29E7A8E4" w14:textId="0C62848E" w:rsidR="00FD18C2" w:rsidRPr="001A5AB5" w:rsidRDefault="00FD18C2" w:rsidP="00487405">
            <w:pPr>
              <w:rPr>
                <w:rFonts w:ascii="Arial" w:hAnsi="Arial" w:cs="Arial"/>
                <w:b/>
                <w:bCs/>
                <w:color w:val="FFFFFF"/>
                <w:sz w:val="20"/>
                <w:szCs w:val="20"/>
                <w:lang w:val="en-GB"/>
              </w:rPr>
            </w:pPr>
            <w:r>
              <w:rPr>
                <w:rFonts w:ascii="Arial" w:hAnsi="Arial" w:cs="Arial"/>
                <w:b/>
                <w:bCs/>
                <w:color w:val="FFFFFF"/>
                <w:sz w:val="20"/>
                <w:szCs w:val="20"/>
                <w:lang w:val="en-GB"/>
              </w:rPr>
              <w:t>Recommendations</w:t>
            </w:r>
            <w:r>
              <w:rPr>
                <w:rFonts w:ascii="Arial" w:hAnsi="Arial" w:cs="Arial"/>
                <w:b/>
                <w:bCs/>
                <w:color w:val="FFFFFF"/>
                <w:sz w:val="20"/>
                <w:szCs w:val="20"/>
                <w:vertAlign w:val="superscript"/>
                <w:lang w:val="en-GB"/>
              </w:rPr>
              <w:t>(1</w:t>
            </w:r>
            <w:r w:rsidRPr="00FD18C2">
              <w:rPr>
                <w:rFonts w:ascii="Arial" w:hAnsi="Arial" w:cs="Arial"/>
                <w:b/>
                <w:bCs/>
                <w:color w:val="FFFFFF"/>
                <w:sz w:val="20"/>
                <w:szCs w:val="20"/>
                <w:vertAlign w:val="superscript"/>
                <w:lang w:val="en-GB"/>
              </w:rPr>
              <w:t>), (2)</w:t>
            </w:r>
          </w:p>
        </w:tc>
      </w:tr>
      <w:tr w:rsidR="00FD18C2" w:rsidRPr="001A5AB5" w14:paraId="4C131E85" w14:textId="77777777" w:rsidTr="004007EE">
        <w:trPr>
          <w:trHeight w:val="300"/>
        </w:trPr>
        <w:tc>
          <w:tcPr>
            <w:tcW w:w="4536" w:type="dxa"/>
            <w:tcBorders>
              <w:top w:val="nil"/>
              <w:left w:val="nil"/>
              <w:bottom w:val="single" w:sz="4" w:space="0" w:color="FFFFFF" w:themeColor="background1"/>
              <w:right w:val="nil"/>
            </w:tcBorders>
            <w:shd w:val="clear" w:color="000000" w:fill="D8EEFA"/>
            <w:hideMark/>
          </w:tcPr>
          <w:p w14:paraId="37655FD8" w14:textId="1784D871" w:rsidR="00FD18C2" w:rsidRPr="001A5AB5" w:rsidRDefault="00C8481B" w:rsidP="005A45D4">
            <w:pPr>
              <w:spacing w:after="240"/>
              <w:rPr>
                <w:rFonts w:ascii="Arial" w:hAnsi="Arial" w:cs="Arial"/>
                <w:color w:val="000000"/>
                <w:sz w:val="20"/>
                <w:szCs w:val="20"/>
                <w:lang w:val="en-GB"/>
              </w:rPr>
            </w:pPr>
            <w:r>
              <w:rPr>
                <w:rFonts w:ascii="Arial" w:hAnsi="Arial" w:cs="Arial"/>
                <w:color w:val="000000"/>
                <w:sz w:val="20"/>
                <w:szCs w:val="20"/>
                <w:lang w:val="en-GB"/>
              </w:rPr>
              <w:t>Coordination of</w:t>
            </w:r>
            <w:r w:rsidR="00FD18C2" w:rsidRPr="005B2399">
              <w:rPr>
                <w:rFonts w:ascii="Arial" w:hAnsi="Arial" w:cs="Arial"/>
                <w:color w:val="000000"/>
                <w:sz w:val="20"/>
                <w:szCs w:val="20"/>
                <w:lang w:val="en-GB"/>
              </w:rPr>
              <w:t xml:space="preserve"> a future (harmonized) trilateral fish monitoring programme as part of the TMAP, including the promotion of research programmes to complement the monitoring programme;</w:t>
            </w:r>
          </w:p>
        </w:tc>
        <w:tc>
          <w:tcPr>
            <w:tcW w:w="4962" w:type="dxa"/>
            <w:tcBorders>
              <w:top w:val="nil"/>
              <w:left w:val="nil"/>
              <w:bottom w:val="single" w:sz="4" w:space="0" w:color="FFFFFF" w:themeColor="background1"/>
              <w:right w:val="nil"/>
            </w:tcBorders>
            <w:shd w:val="clear" w:color="000000" w:fill="D8EEFA"/>
            <w:hideMark/>
          </w:tcPr>
          <w:p w14:paraId="471AAA73" w14:textId="6D2A0126" w:rsidR="00FD18C2" w:rsidRPr="005B2399" w:rsidRDefault="00FD18C2" w:rsidP="005A45D4">
            <w:pPr>
              <w:spacing w:after="240"/>
              <w:rPr>
                <w:rFonts w:ascii="Arial" w:hAnsi="Arial" w:cs="Arial"/>
                <w:color w:val="000000"/>
                <w:sz w:val="20"/>
                <w:szCs w:val="20"/>
                <w:lang w:val="en-GB"/>
              </w:rPr>
            </w:pPr>
            <w:r w:rsidRPr="005B2399">
              <w:rPr>
                <w:rFonts w:ascii="Arial" w:hAnsi="Arial" w:cs="Arial"/>
                <w:color w:val="000000"/>
                <w:sz w:val="20"/>
                <w:szCs w:val="20"/>
                <w:lang w:val="en-GB"/>
              </w:rPr>
              <w:t>Identify existing and future research and monitoring programmes which can address the Fish Targets and will augment the programmes currently utilised</w:t>
            </w:r>
            <w:r>
              <w:rPr>
                <w:rFonts w:ascii="Arial" w:hAnsi="Arial" w:cs="Arial"/>
                <w:color w:val="000000"/>
                <w:sz w:val="20"/>
                <w:szCs w:val="20"/>
                <w:lang w:val="en-GB"/>
              </w:rPr>
              <w:t xml:space="preserve"> (1)</w:t>
            </w:r>
            <w:r w:rsidR="00407A7A">
              <w:rPr>
                <w:rFonts w:ascii="Arial" w:hAnsi="Arial" w:cs="Arial"/>
                <w:color w:val="000000"/>
                <w:sz w:val="20"/>
                <w:szCs w:val="20"/>
                <w:lang w:val="en-GB"/>
              </w:rPr>
              <w:t>;</w:t>
            </w:r>
          </w:p>
          <w:p w14:paraId="6509D478" w14:textId="7F7AF980" w:rsidR="00FD18C2" w:rsidRPr="005B2399" w:rsidRDefault="00FD18C2" w:rsidP="005A45D4">
            <w:pPr>
              <w:spacing w:after="240"/>
              <w:rPr>
                <w:rFonts w:ascii="Arial" w:hAnsi="Arial" w:cs="Arial"/>
                <w:color w:val="000000"/>
                <w:sz w:val="20"/>
                <w:szCs w:val="20"/>
                <w:lang w:val="en-GB"/>
              </w:rPr>
            </w:pPr>
            <w:r w:rsidRPr="005B2399">
              <w:rPr>
                <w:rFonts w:ascii="Arial" w:hAnsi="Arial" w:cs="Arial"/>
                <w:color w:val="000000"/>
                <w:sz w:val="20"/>
                <w:szCs w:val="20"/>
                <w:lang w:val="en-GB"/>
              </w:rPr>
              <w:t>Present proposal on improving TMAP with respect to the Swimway at 2</w:t>
            </w:r>
            <w:r w:rsidRPr="00FD18C2">
              <w:rPr>
                <w:rFonts w:ascii="Arial" w:hAnsi="Arial" w:cs="Arial"/>
                <w:color w:val="000000"/>
                <w:sz w:val="20"/>
                <w:szCs w:val="20"/>
                <w:vertAlign w:val="superscript"/>
                <w:lang w:val="en-GB"/>
              </w:rPr>
              <w:t>nd</w:t>
            </w:r>
            <w:r>
              <w:rPr>
                <w:rFonts w:ascii="Arial" w:hAnsi="Arial" w:cs="Arial"/>
                <w:color w:val="000000"/>
                <w:sz w:val="20"/>
                <w:szCs w:val="20"/>
                <w:lang w:val="en-GB"/>
              </w:rPr>
              <w:t xml:space="preserve"> </w:t>
            </w:r>
            <w:r w:rsidRPr="005B2399">
              <w:rPr>
                <w:rFonts w:ascii="Arial" w:hAnsi="Arial" w:cs="Arial"/>
                <w:color w:val="000000"/>
                <w:sz w:val="20"/>
                <w:szCs w:val="20"/>
                <w:lang w:val="en-GB"/>
              </w:rPr>
              <w:t>Swimway Conference (tentative date 2022)</w:t>
            </w:r>
            <w:r>
              <w:rPr>
                <w:rFonts w:ascii="Arial" w:hAnsi="Arial" w:cs="Arial"/>
                <w:color w:val="000000"/>
                <w:sz w:val="20"/>
                <w:szCs w:val="20"/>
                <w:lang w:val="en-GB"/>
              </w:rPr>
              <w:t xml:space="preserve"> (1)</w:t>
            </w:r>
            <w:r w:rsidR="00407A7A">
              <w:rPr>
                <w:rFonts w:ascii="Arial" w:hAnsi="Arial" w:cs="Arial"/>
                <w:color w:val="000000"/>
                <w:sz w:val="20"/>
                <w:szCs w:val="20"/>
                <w:lang w:val="en-GB"/>
              </w:rPr>
              <w:t>;</w:t>
            </w:r>
          </w:p>
          <w:p w14:paraId="4528DF81" w14:textId="631518E6" w:rsidR="00FD18C2" w:rsidRPr="001A5AB5" w:rsidRDefault="00FD18C2" w:rsidP="005A45D4">
            <w:pPr>
              <w:spacing w:after="240"/>
              <w:rPr>
                <w:rFonts w:ascii="Arial" w:hAnsi="Arial" w:cs="Arial"/>
                <w:color w:val="000000"/>
                <w:sz w:val="20"/>
                <w:szCs w:val="20"/>
                <w:lang w:val="en-GB"/>
              </w:rPr>
            </w:pPr>
            <w:r w:rsidRPr="005B2399">
              <w:rPr>
                <w:rFonts w:ascii="Arial" w:hAnsi="Arial" w:cs="Arial"/>
                <w:color w:val="000000"/>
                <w:sz w:val="20"/>
                <w:szCs w:val="20"/>
                <w:lang w:val="en-GB"/>
              </w:rPr>
              <w:t>Following this submit a further prioritised and revised version as part of the “TMAP 2.0”</w:t>
            </w:r>
            <w:r>
              <w:rPr>
                <w:rFonts w:ascii="Arial" w:hAnsi="Arial" w:cs="Arial"/>
                <w:color w:val="000000"/>
                <w:sz w:val="20"/>
                <w:szCs w:val="20"/>
                <w:lang w:val="en-GB"/>
              </w:rPr>
              <w:t xml:space="preserve"> (1)</w:t>
            </w:r>
            <w:r w:rsidR="00407A7A">
              <w:t>;</w:t>
            </w:r>
          </w:p>
        </w:tc>
      </w:tr>
      <w:tr w:rsidR="00FD18C2" w:rsidRPr="001A5AB5" w14:paraId="6C6DA035" w14:textId="77777777" w:rsidTr="004007EE">
        <w:trPr>
          <w:trHeight w:val="300"/>
        </w:trPr>
        <w:tc>
          <w:tcPr>
            <w:tcW w:w="4536" w:type="dxa"/>
            <w:tcBorders>
              <w:top w:val="single" w:sz="4" w:space="0" w:color="FFFFFF" w:themeColor="background1"/>
              <w:left w:val="nil"/>
              <w:bottom w:val="single" w:sz="4" w:space="0" w:color="FFFFFF" w:themeColor="background1"/>
              <w:right w:val="nil"/>
            </w:tcBorders>
            <w:shd w:val="clear" w:color="000000" w:fill="D8EEFA"/>
          </w:tcPr>
          <w:p w14:paraId="1486B92C" w14:textId="39803124" w:rsidR="00FD18C2" w:rsidRPr="001A5AB5" w:rsidRDefault="0093155F" w:rsidP="005A45D4">
            <w:pPr>
              <w:spacing w:after="240"/>
              <w:rPr>
                <w:rFonts w:ascii="Arial" w:hAnsi="Arial" w:cs="Arial"/>
                <w:color w:val="000000"/>
                <w:sz w:val="20"/>
                <w:szCs w:val="20"/>
                <w:lang w:val="en-GB"/>
              </w:rPr>
            </w:pPr>
            <w:bookmarkStart w:id="2" w:name="_Hlk42770606"/>
            <w:r w:rsidRPr="0093155F">
              <w:rPr>
                <w:rFonts w:ascii="Arial" w:hAnsi="Arial" w:cs="Arial"/>
                <w:color w:val="000000"/>
                <w:sz w:val="20"/>
                <w:szCs w:val="20"/>
                <w:lang w:val="en-GB"/>
              </w:rPr>
              <w:t>Define a concept</w:t>
            </w:r>
            <w:r>
              <w:rPr>
                <w:rFonts w:ascii="Arial" w:hAnsi="Arial" w:cs="Arial"/>
                <w:color w:val="000000"/>
                <w:sz w:val="20"/>
                <w:szCs w:val="20"/>
                <w:lang w:val="en-GB"/>
              </w:rPr>
              <w:t xml:space="preserve"> for </w:t>
            </w:r>
            <w:r w:rsidR="00C8481B" w:rsidRPr="00700F53">
              <w:rPr>
                <w:rFonts w:ascii="Arial" w:hAnsi="Arial" w:cs="Arial"/>
                <w:color w:val="000000"/>
                <w:sz w:val="20"/>
                <w:szCs w:val="20"/>
                <w:lang w:val="en-GB"/>
              </w:rPr>
              <w:t xml:space="preserve">a forum </w:t>
            </w:r>
            <w:r>
              <w:rPr>
                <w:rFonts w:ascii="Arial" w:hAnsi="Arial" w:cs="Arial"/>
                <w:color w:val="000000"/>
                <w:sz w:val="20"/>
                <w:szCs w:val="20"/>
                <w:lang w:val="en-GB"/>
              </w:rPr>
              <w:t xml:space="preserve">to stimulate and support </w:t>
            </w:r>
            <w:r w:rsidR="00C8481B" w:rsidRPr="00700F53">
              <w:rPr>
                <w:rFonts w:ascii="Arial" w:hAnsi="Arial" w:cs="Arial"/>
                <w:color w:val="000000"/>
                <w:sz w:val="20"/>
                <w:szCs w:val="20"/>
                <w:lang w:val="en-GB"/>
              </w:rPr>
              <w:t>exchange</w:t>
            </w:r>
            <w:r w:rsidR="00C8481B" w:rsidRPr="005B2399">
              <w:rPr>
                <w:rFonts w:ascii="Arial" w:hAnsi="Arial" w:cs="Arial"/>
                <w:color w:val="000000"/>
                <w:sz w:val="20"/>
                <w:szCs w:val="20"/>
                <w:lang w:val="en-GB"/>
              </w:rPr>
              <w:t xml:space="preserve"> of information on Wadden Sea fish, and for coordination with other, EU – wide or global SWIMWAY and related activities;</w:t>
            </w:r>
            <w:bookmarkEnd w:id="2"/>
          </w:p>
        </w:tc>
        <w:tc>
          <w:tcPr>
            <w:tcW w:w="4962" w:type="dxa"/>
            <w:tcBorders>
              <w:top w:val="single" w:sz="4" w:space="0" w:color="FFFFFF" w:themeColor="background1"/>
              <w:left w:val="nil"/>
              <w:bottom w:val="single" w:sz="4" w:space="0" w:color="FFFFFF" w:themeColor="background1"/>
              <w:right w:val="nil"/>
            </w:tcBorders>
            <w:shd w:val="clear" w:color="000000" w:fill="D8EEFA"/>
          </w:tcPr>
          <w:p w14:paraId="0F7A9332" w14:textId="63B3753C" w:rsidR="00FD18C2" w:rsidRPr="001A5AB5" w:rsidRDefault="00FD18C2" w:rsidP="005A45D4">
            <w:pPr>
              <w:spacing w:after="240"/>
              <w:rPr>
                <w:rFonts w:ascii="Arial" w:hAnsi="Arial" w:cs="Arial"/>
                <w:color w:val="000000"/>
                <w:sz w:val="20"/>
                <w:szCs w:val="20"/>
                <w:lang w:val="en-GB"/>
              </w:rPr>
            </w:pPr>
          </w:p>
        </w:tc>
      </w:tr>
      <w:tr w:rsidR="00FD18C2" w:rsidRPr="001A5AB5" w14:paraId="5FDBDB27" w14:textId="77777777" w:rsidTr="004007EE">
        <w:trPr>
          <w:trHeight w:val="300"/>
        </w:trPr>
        <w:tc>
          <w:tcPr>
            <w:tcW w:w="4536" w:type="dxa"/>
            <w:tcBorders>
              <w:top w:val="single" w:sz="4" w:space="0" w:color="FFFFFF" w:themeColor="background1"/>
              <w:left w:val="nil"/>
              <w:bottom w:val="single" w:sz="4" w:space="0" w:color="FFFFFF" w:themeColor="background1"/>
              <w:right w:val="nil"/>
            </w:tcBorders>
            <w:shd w:val="clear" w:color="000000" w:fill="D8EEFA"/>
          </w:tcPr>
          <w:p w14:paraId="44A7F030" w14:textId="77777777" w:rsidR="00FD18C2" w:rsidRPr="001A5AB5" w:rsidRDefault="00FD18C2" w:rsidP="005A45D4">
            <w:pPr>
              <w:spacing w:after="240"/>
              <w:rPr>
                <w:rFonts w:ascii="Arial" w:hAnsi="Arial" w:cs="Arial"/>
                <w:color w:val="000000"/>
                <w:sz w:val="20"/>
                <w:szCs w:val="20"/>
                <w:lang w:val="en-GB"/>
              </w:rPr>
            </w:pPr>
            <w:r w:rsidRPr="005B2399">
              <w:rPr>
                <w:rFonts w:ascii="Arial" w:hAnsi="Arial" w:cs="Arial"/>
                <w:color w:val="000000"/>
                <w:sz w:val="20"/>
                <w:szCs w:val="20"/>
                <w:lang w:val="en-GB"/>
              </w:rPr>
              <w:t>Promote communication of its work and actions to other national, trilateral and international groups and to the public at large;</w:t>
            </w:r>
          </w:p>
        </w:tc>
        <w:tc>
          <w:tcPr>
            <w:tcW w:w="4962" w:type="dxa"/>
            <w:tcBorders>
              <w:top w:val="single" w:sz="4" w:space="0" w:color="FFFFFF" w:themeColor="background1"/>
              <w:left w:val="nil"/>
              <w:bottom w:val="single" w:sz="4" w:space="0" w:color="FFFFFF" w:themeColor="background1"/>
              <w:right w:val="nil"/>
            </w:tcBorders>
            <w:shd w:val="clear" w:color="000000" w:fill="D8EEFA"/>
          </w:tcPr>
          <w:p w14:paraId="79B640AB" w14:textId="3B690C51" w:rsidR="00FD18C2" w:rsidRPr="001A5AB5" w:rsidRDefault="00FD18C2" w:rsidP="005A45D4">
            <w:pPr>
              <w:spacing w:after="240"/>
              <w:rPr>
                <w:rFonts w:ascii="Arial" w:hAnsi="Arial" w:cs="Arial"/>
                <w:color w:val="000000"/>
                <w:sz w:val="20"/>
                <w:szCs w:val="20"/>
                <w:lang w:val="en-GB"/>
              </w:rPr>
            </w:pPr>
            <w:r w:rsidRPr="005B2399">
              <w:rPr>
                <w:rFonts w:ascii="Arial" w:hAnsi="Arial" w:cs="Arial"/>
                <w:color w:val="000000"/>
                <w:sz w:val="20"/>
                <w:szCs w:val="20"/>
                <w:lang w:val="en-GB"/>
              </w:rPr>
              <w:t>Increase visibility and public outreach to generate support for the SWIMWAY aims</w:t>
            </w:r>
            <w:r>
              <w:rPr>
                <w:rFonts w:ascii="Arial" w:hAnsi="Arial" w:cs="Arial"/>
                <w:color w:val="000000"/>
                <w:sz w:val="20"/>
                <w:szCs w:val="20"/>
                <w:lang w:val="en-GB"/>
              </w:rPr>
              <w:t xml:space="preserve"> (2)</w:t>
            </w:r>
            <w:r w:rsidR="00407A7A">
              <w:rPr>
                <w:rFonts w:ascii="Arial" w:hAnsi="Arial" w:cs="Arial"/>
                <w:color w:val="000000"/>
                <w:sz w:val="20"/>
                <w:szCs w:val="20"/>
                <w:lang w:val="en-GB"/>
              </w:rPr>
              <w:t>;</w:t>
            </w:r>
          </w:p>
        </w:tc>
      </w:tr>
      <w:tr w:rsidR="005A45D4" w:rsidRPr="001A5AB5" w14:paraId="3E1DAB03" w14:textId="77777777" w:rsidTr="004007EE">
        <w:trPr>
          <w:trHeight w:val="300"/>
        </w:trPr>
        <w:tc>
          <w:tcPr>
            <w:tcW w:w="4536" w:type="dxa"/>
            <w:tcBorders>
              <w:top w:val="single" w:sz="4" w:space="0" w:color="FFFFFF" w:themeColor="background1"/>
              <w:left w:val="nil"/>
              <w:bottom w:val="single" w:sz="4" w:space="0" w:color="FFFFFF" w:themeColor="background1"/>
              <w:right w:val="nil"/>
            </w:tcBorders>
            <w:shd w:val="clear" w:color="000000" w:fill="D8EEFA"/>
          </w:tcPr>
          <w:p w14:paraId="10734AE7" w14:textId="77777777" w:rsidR="005A45D4" w:rsidRPr="001A5AB5" w:rsidRDefault="005A45D4" w:rsidP="005A45D4">
            <w:pPr>
              <w:spacing w:after="240"/>
              <w:rPr>
                <w:rFonts w:ascii="Arial" w:hAnsi="Arial" w:cs="Arial"/>
                <w:color w:val="000000"/>
                <w:sz w:val="20"/>
                <w:szCs w:val="20"/>
                <w:lang w:val="en-GB"/>
              </w:rPr>
            </w:pPr>
            <w:r w:rsidRPr="005B2399">
              <w:rPr>
                <w:rFonts w:ascii="Arial" w:hAnsi="Arial" w:cs="Arial"/>
                <w:color w:val="000000"/>
                <w:sz w:val="20"/>
                <w:szCs w:val="20"/>
                <w:lang w:val="en-GB"/>
              </w:rPr>
              <w:t>Oversee progress towards reaching the trilateral fish targets under the TWSC, in particular by liaising with and/or participating in relevant actions to improve the conservation status of Wadden Sea fish, such as national and international research projects and action plans;</w:t>
            </w:r>
          </w:p>
        </w:tc>
        <w:tc>
          <w:tcPr>
            <w:tcW w:w="4962" w:type="dxa"/>
            <w:tcBorders>
              <w:top w:val="single" w:sz="4" w:space="0" w:color="FFFFFF" w:themeColor="background1"/>
              <w:left w:val="nil"/>
              <w:bottom w:val="single" w:sz="4" w:space="0" w:color="FFFFFF" w:themeColor="background1"/>
              <w:right w:val="nil"/>
            </w:tcBorders>
            <w:shd w:val="clear" w:color="000000" w:fill="D8EEFA"/>
          </w:tcPr>
          <w:p w14:paraId="6788E986" w14:textId="480A5452" w:rsidR="005A45D4" w:rsidRDefault="005A45D4" w:rsidP="005A45D4">
            <w:pPr>
              <w:spacing w:after="240"/>
              <w:rPr>
                <w:rFonts w:ascii="Arial" w:hAnsi="Arial" w:cs="Arial"/>
                <w:color w:val="000000"/>
                <w:sz w:val="20"/>
                <w:szCs w:val="20"/>
                <w:lang w:val="en-GB"/>
              </w:rPr>
            </w:pPr>
            <w:r w:rsidRPr="005A45D4">
              <w:rPr>
                <w:rFonts w:ascii="Arial" w:hAnsi="Arial" w:cs="Arial"/>
                <w:color w:val="000000"/>
                <w:sz w:val="20"/>
                <w:szCs w:val="20"/>
                <w:lang w:val="en-GB"/>
              </w:rPr>
              <w:t>Linking SWIMWAY to other programs and knowledge communities</w:t>
            </w:r>
            <w:r>
              <w:rPr>
                <w:rFonts w:ascii="Arial" w:hAnsi="Arial" w:cs="Arial"/>
                <w:color w:val="000000"/>
                <w:sz w:val="20"/>
                <w:szCs w:val="20"/>
                <w:lang w:val="en-GB"/>
              </w:rPr>
              <w:t xml:space="preserve"> (2)</w:t>
            </w:r>
            <w:r w:rsidR="00407A7A">
              <w:rPr>
                <w:rFonts w:ascii="Arial" w:hAnsi="Arial" w:cs="Arial"/>
                <w:color w:val="000000"/>
                <w:sz w:val="20"/>
                <w:szCs w:val="20"/>
                <w:lang w:val="en-GB"/>
              </w:rPr>
              <w:t>;</w:t>
            </w:r>
          </w:p>
          <w:p w14:paraId="030687FF" w14:textId="4F519FE9" w:rsidR="005A45D4" w:rsidRDefault="005A45D4" w:rsidP="005A45D4">
            <w:pPr>
              <w:spacing w:after="240"/>
              <w:rPr>
                <w:rFonts w:ascii="Arial" w:hAnsi="Arial" w:cs="Arial"/>
                <w:color w:val="000000"/>
                <w:sz w:val="20"/>
                <w:szCs w:val="20"/>
                <w:lang w:val="en-GB"/>
              </w:rPr>
            </w:pPr>
            <w:r w:rsidRPr="005A45D4">
              <w:rPr>
                <w:rFonts w:ascii="Arial" w:hAnsi="Arial" w:cs="Arial"/>
                <w:color w:val="000000"/>
                <w:sz w:val="20"/>
                <w:szCs w:val="20"/>
                <w:lang w:val="en-GB"/>
              </w:rPr>
              <w:t>Cooperative research projects</w:t>
            </w:r>
            <w:r>
              <w:rPr>
                <w:rFonts w:ascii="Arial" w:hAnsi="Arial" w:cs="Arial"/>
                <w:color w:val="000000"/>
                <w:sz w:val="20"/>
                <w:szCs w:val="20"/>
                <w:lang w:val="en-GB"/>
              </w:rPr>
              <w:t xml:space="preserve"> (2)</w:t>
            </w:r>
            <w:r w:rsidR="00407A7A">
              <w:rPr>
                <w:rFonts w:ascii="Arial" w:hAnsi="Arial" w:cs="Arial"/>
                <w:color w:val="000000"/>
                <w:sz w:val="20"/>
                <w:szCs w:val="20"/>
                <w:lang w:val="en-GB"/>
              </w:rPr>
              <w:t>;</w:t>
            </w:r>
          </w:p>
          <w:p w14:paraId="7B1D2235" w14:textId="09708A7C" w:rsidR="005A45D4" w:rsidRDefault="005A45D4" w:rsidP="005A45D4">
            <w:pPr>
              <w:spacing w:after="240"/>
              <w:rPr>
                <w:rFonts w:ascii="Arial" w:hAnsi="Arial" w:cs="Arial"/>
                <w:color w:val="000000"/>
                <w:sz w:val="20"/>
                <w:szCs w:val="20"/>
                <w:lang w:val="en-GB"/>
              </w:rPr>
            </w:pPr>
            <w:r w:rsidRPr="005A45D4">
              <w:rPr>
                <w:rFonts w:ascii="Arial" w:hAnsi="Arial" w:cs="Arial"/>
                <w:color w:val="000000"/>
                <w:sz w:val="20"/>
                <w:szCs w:val="20"/>
                <w:lang w:val="en-GB"/>
              </w:rPr>
              <w:t>Stakeholder analysis: Whom to integrate, why and when?</w:t>
            </w:r>
            <w:r w:rsidR="004007EE">
              <w:rPr>
                <w:rFonts w:ascii="Arial" w:hAnsi="Arial" w:cs="Arial"/>
                <w:color w:val="000000"/>
                <w:sz w:val="20"/>
                <w:szCs w:val="20"/>
                <w:lang w:val="en-GB"/>
              </w:rPr>
              <w:t xml:space="preserve"> </w:t>
            </w:r>
            <w:r>
              <w:rPr>
                <w:rFonts w:ascii="Arial" w:hAnsi="Arial" w:cs="Arial"/>
                <w:color w:val="000000"/>
                <w:sz w:val="20"/>
                <w:szCs w:val="20"/>
                <w:lang w:val="en-GB"/>
              </w:rPr>
              <w:t>(2)</w:t>
            </w:r>
            <w:r w:rsidR="00407A7A">
              <w:rPr>
                <w:rFonts w:ascii="Arial" w:hAnsi="Arial" w:cs="Arial"/>
                <w:color w:val="000000"/>
                <w:sz w:val="20"/>
                <w:szCs w:val="20"/>
                <w:lang w:val="en-GB"/>
              </w:rPr>
              <w:t>;</w:t>
            </w:r>
          </w:p>
          <w:p w14:paraId="320D2A54" w14:textId="3D7D6C8C" w:rsidR="009C34B4" w:rsidRPr="001A5AB5" w:rsidRDefault="009C34B4" w:rsidP="005A45D4">
            <w:pPr>
              <w:spacing w:after="240"/>
              <w:rPr>
                <w:rFonts w:ascii="Arial" w:hAnsi="Arial" w:cs="Arial"/>
                <w:color w:val="000000"/>
                <w:sz w:val="20"/>
                <w:szCs w:val="20"/>
                <w:lang w:val="en-GB"/>
              </w:rPr>
            </w:pPr>
            <w:r w:rsidRPr="009C34B4">
              <w:rPr>
                <w:rFonts w:ascii="Arial" w:hAnsi="Arial" w:cs="Arial"/>
                <w:color w:val="000000"/>
                <w:sz w:val="20"/>
                <w:szCs w:val="20"/>
                <w:lang w:val="en-GB"/>
              </w:rPr>
              <w:t>Development and implementation of SMART (specific, measurable, achievable, realistic, time-bound) sub-targets for overarching Trilateral Fish Targets</w:t>
            </w:r>
            <w:r>
              <w:rPr>
                <w:rFonts w:ascii="Arial" w:hAnsi="Arial" w:cs="Arial"/>
                <w:color w:val="000000"/>
                <w:sz w:val="20"/>
                <w:szCs w:val="20"/>
                <w:lang w:val="en-GB"/>
              </w:rPr>
              <w:t xml:space="preserve"> (1, 2)</w:t>
            </w:r>
            <w:r w:rsidR="00407A7A">
              <w:rPr>
                <w:rFonts w:ascii="Arial" w:hAnsi="Arial" w:cs="Arial"/>
                <w:color w:val="000000"/>
                <w:sz w:val="20"/>
                <w:szCs w:val="20"/>
                <w:lang w:val="en-GB"/>
              </w:rPr>
              <w:t>;</w:t>
            </w:r>
          </w:p>
        </w:tc>
      </w:tr>
      <w:tr w:rsidR="0093155F" w:rsidRPr="001A5AB5" w14:paraId="7DB79631" w14:textId="77777777" w:rsidTr="004007EE">
        <w:trPr>
          <w:trHeight w:val="300"/>
        </w:trPr>
        <w:tc>
          <w:tcPr>
            <w:tcW w:w="4536" w:type="dxa"/>
            <w:tcBorders>
              <w:top w:val="single" w:sz="4" w:space="0" w:color="FFFFFF" w:themeColor="background1"/>
              <w:left w:val="nil"/>
              <w:bottom w:val="single" w:sz="4" w:space="0" w:color="FFFFFF" w:themeColor="background1"/>
              <w:right w:val="nil"/>
            </w:tcBorders>
            <w:shd w:val="clear" w:color="000000" w:fill="D8EEFA"/>
          </w:tcPr>
          <w:p w14:paraId="1B570BA6" w14:textId="11606E5C" w:rsidR="0093155F" w:rsidRPr="009C34B4" w:rsidRDefault="00407A7A" w:rsidP="005A45D4">
            <w:pPr>
              <w:spacing w:after="240"/>
              <w:rPr>
                <w:rFonts w:ascii="Arial" w:hAnsi="Arial" w:cs="Arial"/>
                <w:color w:val="000000"/>
                <w:sz w:val="20"/>
                <w:szCs w:val="20"/>
                <w:lang w:val="en-GB"/>
              </w:rPr>
            </w:pPr>
            <w:r w:rsidRPr="00407A7A">
              <w:rPr>
                <w:rFonts w:ascii="Arial" w:hAnsi="Arial" w:cs="Arial"/>
                <w:color w:val="000000"/>
                <w:sz w:val="20"/>
                <w:szCs w:val="20"/>
                <w:lang w:val="en-GB"/>
              </w:rPr>
              <w:t>Make regular assessments based on the monitoring programme and other, scientific programmes in order to provide advice to management relevant for fish life cycles in the Wadden Sea</w:t>
            </w:r>
            <w:r>
              <w:rPr>
                <w:rFonts w:ascii="Arial" w:hAnsi="Arial" w:cs="Arial"/>
                <w:color w:val="000000"/>
                <w:sz w:val="20"/>
                <w:szCs w:val="20"/>
                <w:lang w:val="en-GB"/>
              </w:rPr>
              <w:t>;</w:t>
            </w:r>
          </w:p>
        </w:tc>
        <w:tc>
          <w:tcPr>
            <w:tcW w:w="4962" w:type="dxa"/>
            <w:tcBorders>
              <w:top w:val="single" w:sz="4" w:space="0" w:color="FFFFFF" w:themeColor="background1"/>
              <w:left w:val="nil"/>
              <w:bottom w:val="single" w:sz="4" w:space="0" w:color="FFFFFF" w:themeColor="background1"/>
              <w:right w:val="nil"/>
            </w:tcBorders>
            <w:shd w:val="clear" w:color="000000" w:fill="D8EEFA"/>
          </w:tcPr>
          <w:p w14:paraId="7566A43C" w14:textId="77777777" w:rsidR="0093155F" w:rsidRPr="001A5AB5" w:rsidRDefault="0093155F" w:rsidP="005A45D4">
            <w:pPr>
              <w:spacing w:after="240"/>
              <w:rPr>
                <w:rFonts w:ascii="Arial" w:hAnsi="Arial" w:cs="Arial"/>
                <w:color w:val="000000"/>
                <w:sz w:val="20"/>
                <w:szCs w:val="20"/>
                <w:lang w:val="en-GB"/>
              </w:rPr>
            </w:pPr>
          </w:p>
        </w:tc>
      </w:tr>
      <w:tr w:rsidR="005A45D4" w:rsidRPr="001A5AB5" w14:paraId="1B8EEC43" w14:textId="77777777" w:rsidTr="004007EE">
        <w:trPr>
          <w:trHeight w:val="300"/>
        </w:trPr>
        <w:tc>
          <w:tcPr>
            <w:tcW w:w="4536" w:type="dxa"/>
            <w:tcBorders>
              <w:top w:val="single" w:sz="4" w:space="0" w:color="FFFFFF" w:themeColor="background1"/>
              <w:left w:val="nil"/>
              <w:bottom w:val="single" w:sz="4" w:space="0" w:color="FFFFFF" w:themeColor="background1"/>
              <w:right w:val="nil"/>
            </w:tcBorders>
            <w:shd w:val="clear" w:color="000000" w:fill="D8EEFA"/>
          </w:tcPr>
          <w:p w14:paraId="20E9B169" w14:textId="3B767898" w:rsidR="005A45D4" w:rsidRPr="001A5AB5" w:rsidRDefault="009C34B4" w:rsidP="005A45D4">
            <w:pPr>
              <w:spacing w:after="240"/>
              <w:rPr>
                <w:rFonts w:ascii="Arial" w:hAnsi="Arial" w:cs="Arial"/>
                <w:color w:val="000000"/>
                <w:sz w:val="20"/>
                <w:szCs w:val="20"/>
                <w:lang w:val="en-GB"/>
              </w:rPr>
            </w:pPr>
            <w:r w:rsidRPr="009C34B4">
              <w:rPr>
                <w:rFonts w:ascii="Arial" w:hAnsi="Arial" w:cs="Arial"/>
                <w:color w:val="000000"/>
                <w:sz w:val="20"/>
                <w:szCs w:val="20"/>
                <w:lang w:val="en-GB"/>
              </w:rPr>
              <w:t>Contribution to and update of the Quality Status Report thematic report on fish</w:t>
            </w:r>
            <w:r w:rsidR="00407A7A">
              <w:rPr>
                <w:rFonts w:ascii="Arial" w:hAnsi="Arial" w:cs="Arial"/>
                <w:color w:val="000000"/>
                <w:sz w:val="20"/>
                <w:szCs w:val="20"/>
                <w:lang w:val="en-GB"/>
              </w:rPr>
              <w:t>;</w:t>
            </w:r>
          </w:p>
        </w:tc>
        <w:tc>
          <w:tcPr>
            <w:tcW w:w="4962" w:type="dxa"/>
            <w:tcBorders>
              <w:top w:val="single" w:sz="4" w:space="0" w:color="FFFFFF" w:themeColor="background1"/>
              <w:left w:val="nil"/>
              <w:bottom w:val="single" w:sz="4" w:space="0" w:color="FFFFFF" w:themeColor="background1"/>
              <w:right w:val="nil"/>
            </w:tcBorders>
            <w:shd w:val="clear" w:color="000000" w:fill="D8EEFA"/>
          </w:tcPr>
          <w:p w14:paraId="4047BF9E" w14:textId="77777777" w:rsidR="005A45D4" w:rsidRPr="001A5AB5" w:rsidRDefault="005A45D4" w:rsidP="005A45D4">
            <w:pPr>
              <w:spacing w:after="240"/>
              <w:rPr>
                <w:rFonts w:ascii="Arial" w:hAnsi="Arial" w:cs="Arial"/>
                <w:color w:val="000000"/>
                <w:sz w:val="20"/>
                <w:szCs w:val="20"/>
                <w:lang w:val="en-GB"/>
              </w:rPr>
            </w:pPr>
          </w:p>
        </w:tc>
      </w:tr>
      <w:tr w:rsidR="005A45D4" w:rsidRPr="001A5AB5" w14:paraId="4C4AEC44" w14:textId="77777777" w:rsidTr="004007EE">
        <w:trPr>
          <w:trHeight w:val="300"/>
        </w:trPr>
        <w:tc>
          <w:tcPr>
            <w:tcW w:w="4536" w:type="dxa"/>
            <w:tcBorders>
              <w:top w:val="single" w:sz="4" w:space="0" w:color="FFFFFF" w:themeColor="background1"/>
              <w:left w:val="nil"/>
              <w:bottom w:val="single" w:sz="4" w:space="0" w:color="FFFFFF" w:themeColor="background1"/>
              <w:right w:val="nil"/>
            </w:tcBorders>
            <w:shd w:val="clear" w:color="000000" w:fill="D8EEFA"/>
          </w:tcPr>
          <w:p w14:paraId="550A9457" w14:textId="4AFD2966" w:rsidR="005A45D4" w:rsidRPr="001A5AB5" w:rsidRDefault="009C34B4" w:rsidP="005A45D4">
            <w:pPr>
              <w:spacing w:after="240"/>
              <w:rPr>
                <w:rFonts w:ascii="Arial" w:hAnsi="Arial" w:cs="Arial"/>
                <w:color w:val="000000"/>
                <w:sz w:val="20"/>
                <w:szCs w:val="20"/>
                <w:lang w:val="en-GB"/>
              </w:rPr>
            </w:pPr>
            <w:r w:rsidRPr="009C34B4">
              <w:rPr>
                <w:rFonts w:ascii="Arial" w:hAnsi="Arial" w:cs="Arial"/>
                <w:color w:val="000000"/>
                <w:sz w:val="20"/>
                <w:szCs w:val="20"/>
                <w:lang w:val="en-GB"/>
              </w:rPr>
              <w:t>Coordination and implementation of the Swimway Vision and Action Programme</w:t>
            </w:r>
            <w:r w:rsidR="00407A7A">
              <w:rPr>
                <w:rFonts w:ascii="Arial" w:hAnsi="Arial" w:cs="Arial"/>
                <w:color w:val="000000"/>
                <w:sz w:val="20"/>
                <w:szCs w:val="20"/>
                <w:lang w:val="en-GB"/>
              </w:rPr>
              <w:t>.</w:t>
            </w:r>
          </w:p>
        </w:tc>
        <w:tc>
          <w:tcPr>
            <w:tcW w:w="4962" w:type="dxa"/>
            <w:tcBorders>
              <w:top w:val="single" w:sz="4" w:space="0" w:color="FFFFFF" w:themeColor="background1"/>
              <w:left w:val="nil"/>
              <w:bottom w:val="single" w:sz="4" w:space="0" w:color="FFFFFF" w:themeColor="background1"/>
              <w:right w:val="nil"/>
            </w:tcBorders>
            <w:shd w:val="clear" w:color="000000" w:fill="D8EEFA"/>
          </w:tcPr>
          <w:p w14:paraId="11E9AAD2" w14:textId="77777777" w:rsidR="005A45D4" w:rsidRPr="001A5AB5" w:rsidRDefault="005A45D4" w:rsidP="005A45D4">
            <w:pPr>
              <w:spacing w:after="240"/>
              <w:rPr>
                <w:rFonts w:ascii="Arial" w:hAnsi="Arial" w:cs="Arial"/>
                <w:color w:val="000000"/>
                <w:sz w:val="20"/>
                <w:szCs w:val="20"/>
                <w:lang w:val="en-GB"/>
              </w:rPr>
            </w:pPr>
          </w:p>
        </w:tc>
      </w:tr>
      <w:tr w:rsidR="009C34B4" w:rsidRPr="001A5AB5" w14:paraId="08049BB2" w14:textId="77777777" w:rsidTr="004007EE">
        <w:trPr>
          <w:trHeight w:val="300"/>
        </w:trPr>
        <w:tc>
          <w:tcPr>
            <w:tcW w:w="4536" w:type="dxa"/>
            <w:tcBorders>
              <w:top w:val="single" w:sz="4" w:space="0" w:color="FFFFFF" w:themeColor="background1"/>
              <w:left w:val="nil"/>
              <w:bottom w:val="single" w:sz="4" w:space="0" w:color="FFFFFF" w:themeColor="background1"/>
              <w:right w:val="nil"/>
            </w:tcBorders>
            <w:shd w:val="clear" w:color="000000" w:fill="D8EEFA"/>
          </w:tcPr>
          <w:p w14:paraId="4F276774" w14:textId="0B800F15" w:rsidR="009C34B4" w:rsidRPr="009C34B4" w:rsidRDefault="0093155F" w:rsidP="005A45D4">
            <w:pPr>
              <w:spacing w:after="240"/>
              <w:rPr>
                <w:rFonts w:ascii="Arial" w:hAnsi="Arial" w:cs="Arial"/>
                <w:color w:val="000000"/>
                <w:sz w:val="20"/>
                <w:szCs w:val="20"/>
                <w:lang w:val="en-GB"/>
              </w:rPr>
            </w:pPr>
            <w:r>
              <w:rPr>
                <w:rFonts w:ascii="Arial" w:hAnsi="Arial" w:cs="Arial"/>
                <w:color w:val="000000"/>
                <w:sz w:val="20"/>
                <w:szCs w:val="20"/>
                <w:lang w:val="en-GB"/>
              </w:rPr>
              <w:t>…</w:t>
            </w:r>
          </w:p>
        </w:tc>
        <w:tc>
          <w:tcPr>
            <w:tcW w:w="4962" w:type="dxa"/>
            <w:tcBorders>
              <w:top w:val="single" w:sz="4" w:space="0" w:color="FFFFFF" w:themeColor="background1"/>
              <w:left w:val="nil"/>
              <w:bottom w:val="single" w:sz="4" w:space="0" w:color="FFFFFF" w:themeColor="background1"/>
              <w:right w:val="nil"/>
            </w:tcBorders>
            <w:shd w:val="clear" w:color="000000" w:fill="D8EEFA"/>
          </w:tcPr>
          <w:p w14:paraId="35B8A7A8" w14:textId="77777777" w:rsidR="009C34B4" w:rsidRPr="001A5AB5" w:rsidRDefault="009C34B4" w:rsidP="005A45D4">
            <w:pPr>
              <w:spacing w:after="240"/>
              <w:rPr>
                <w:rFonts w:ascii="Arial" w:hAnsi="Arial" w:cs="Arial"/>
                <w:color w:val="000000"/>
                <w:sz w:val="20"/>
                <w:szCs w:val="20"/>
                <w:lang w:val="en-GB"/>
              </w:rPr>
            </w:pPr>
          </w:p>
        </w:tc>
      </w:tr>
      <w:tr w:rsidR="009C34B4" w:rsidRPr="001A5AB5" w14:paraId="0AA90827" w14:textId="77777777" w:rsidTr="004007EE">
        <w:trPr>
          <w:trHeight w:val="300"/>
        </w:trPr>
        <w:tc>
          <w:tcPr>
            <w:tcW w:w="4536" w:type="dxa"/>
            <w:tcBorders>
              <w:top w:val="single" w:sz="4" w:space="0" w:color="FFFFFF" w:themeColor="background1"/>
              <w:left w:val="nil"/>
              <w:bottom w:val="nil"/>
              <w:right w:val="nil"/>
            </w:tcBorders>
            <w:shd w:val="clear" w:color="000000" w:fill="D8EEFA"/>
          </w:tcPr>
          <w:p w14:paraId="67CB30EF" w14:textId="4BF83117" w:rsidR="009C34B4" w:rsidRPr="009C34B4" w:rsidRDefault="009C34B4" w:rsidP="005A45D4">
            <w:pPr>
              <w:spacing w:after="240"/>
              <w:rPr>
                <w:rFonts w:ascii="Arial" w:hAnsi="Arial" w:cs="Arial"/>
                <w:color w:val="000000"/>
                <w:sz w:val="20"/>
                <w:szCs w:val="20"/>
                <w:lang w:val="en-GB"/>
              </w:rPr>
            </w:pPr>
          </w:p>
        </w:tc>
        <w:tc>
          <w:tcPr>
            <w:tcW w:w="4962" w:type="dxa"/>
            <w:tcBorders>
              <w:top w:val="single" w:sz="4" w:space="0" w:color="FFFFFF" w:themeColor="background1"/>
              <w:left w:val="nil"/>
              <w:bottom w:val="nil"/>
              <w:right w:val="nil"/>
            </w:tcBorders>
            <w:shd w:val="clear" w:color="000000" w:fill="D8EEFA"/>
          </w:tcPr>
          <w:p w14:paraId="79213988" w14:textId="77777777" w:rsidR="009C34B4" w:rsidRPr="001A5AB5" w:rsidRDefault="009C34B4" w:rsidP="005A45D4">
            <w:pPr>
              <w:spacing w:after="240"/>
              <w:rPr>
                <w:rFonts w:ascii="Arial" w:hAnsi="Arial" w:cs="Arial"/>
                <w:color w:val="000000"/>
                <w:sz w:val="20"/>
                <w:szCs w:val="20"/>
                <w:lang w:val="en-GB"/>
              </w:rPr>
            </w:pPr>
          </w:p>
        </w:tc>
      </w:tr>
    </w:tbl>
    <w:p w14:paraId="44B50DB8" w14:textId="4D55F2C5" w:rsidR="00FD18C2" w:rsidRDefault="00FD18C2" w:rsidP="00FD18C2">
      <w:pPr>
        <w:pStyle w:val="Standardtext"/>
        <w:rPr>
          <w:i/>
          <w:iCs/>
          <w:sz w:val="16"/>
          <w:szCs w:val="16"/>
          <w:lang w:val="en-GB"/>
        </w:rPr>
      </w:pPr>
      <w:r>
        <w:rPr>
          <w:i/>
          <w:iCs/>
          <w:sz w:val="16"/>
          <w:szCs w:val="16"/>
          <w:vertAlign w:val="superscript"/>
          <w:lang w:val="en-GB"/>
        </w:rPr>
        <w:t>(</w:t>
      </w:r>
      <w:r w:rsidRPr="00FD18C2">
        <w:rPr>
          <w:i/>
          <w:iCs/>
          <w:sz w:val="16"/>
          <w:szCs w:val="16"/>
          <w:vertAlign w:val="superscript"/>
          <w:lang w:val="en-GB"/>
        </w:rPr>
        <w:t>1</w:t>
      </w:r>
      <w:r>
        <w:rPr>
          <w:i/>
          <w:iCs/>
          <w:sz w:val="16"/>
          <w:szCs w:val="16"/>
          <w:vertAlign w:val="superscript"/>
          <w:lang w:val="en-GB"/>
        </w:rPr>
        <w:t>)</w:t>
      </w:r>
      <w:r w:rsidR="009C34B4">
        <w:rPr>
          <w:i/>
          <w:iCs/>
          <w:sz w:val="16"/>
          <w:szCs w:val="16"/>
          <w:vertAlign w:val="superscript"/>
          <w:lang w:val="en-GB"/>
        </w:rPr>
        <w:t xml:space="preserve"> </w:t>
      </w:r>
      <w:r w:rsidRPr="00FD18C2">
        <w:rPr>
          <w:i/>
          <w:iCs/>
          <w:sz w:val="16"/>
          <w:szCs w:val="16"/>
          <w:lang w:val="en-GB"/>
        </w:rPr>
        <w:t>Recommendations for a trilateral group in the trilateral fish monitoring report (WG-SWIMWAY20-2-6)</w:t>
      </w:r>
    </w:p>
    <w:p w14:paraId="0D8E8BB7" w14:textId="2CEE4EE8" w:rsidR="00771D14" w:rsidRPr="00FD18C2" w:rsidRDefault="00FD18C2" w:rsidP="00405581">
      <w:pPr>
        <w:pStyle w:val="Standardtext"/>
        <w:rPr>
          <w:szCs w:val="20"/>
        </w:rPr>
      </w:pPr>
      <w:r>
        <w:rPr>
          <w:i/>
          <w:iCs/>
          <w:sz w:val="16"/>
          <w:szCs w:val="16"/>
          <w:vertAlign w:val="superscript"/>
          <w:lang w:val="en-GB"/>
        </w:rPr>
        <w:t>(</w:t>
      </w:r>
      <w:r w:rsidRPr="00FD18C2">
        <w:rPr>
          <w:i/>
          <w:iCs/>
          <w:sz w:val="16"/>
          <w:szCs w:val="16"/>
          <w:vertAlign w:val="superscript"/>
          <w:lang w:val="en-GB"/>
        </w:rPr>
        <w:t>2</w:t>
      </w:r>
      <w:r>
        <w:rPr>
          <w:i/>
          <w:iCs/>
          <w:sz w:val="16"/>
          <w:szCs w:val="16"/>
          <w:vertAlign w:val="superscript"/>
          <w:lang w:val="en-GB"/>
        </w:rPr>
        <w:t>)</w:t>
      </w:r>
      <w:r w:rsidRPr="00771D14">
        <w:rPr>
          <w:i/>
          <w:iCs/>
          <w:sz w:val="16"/>
          <w:szCs w:val="16"/>
          <w:lang w:val="en-GB"/>
        </w:rPr>
        <w:t xml:space="preserve"> Dänhardt, A. (2019) SWIMWAYs: Understanding connectivity within the life cycles of coastal fish. Conference report, 24-26 September 2019, Hamburg, Germany. Jesteburg/ Lüllau, 105 pages. Common Wadden Sea Secretariat, Wilhelmshaven, Germany.</w:t>
      </w:r>
    </w:p>
    <w:p w14:paraId="288CBF3E" w14:textId="77777777" w:rsidR="00243C53" w:rsidRDefault="00243C53" w:rsidP="00C42785">
      <w:pPr>
        <w:pStyle w:val="Heading2"/>
        <w:rPr>
          <w:lang w:val="en-GB"/>
        </w:rPr>
      </w:pPr>
      <w:r>
        <w:rPr>
          <w:lang w:val="en-GB"/>
        </w:rPr>
        <w:br w:type="page"/>
      </w:r>
    </w:p>
    <w:p w14:paraId="7130B0B7" w14:textId="2218B2B6" w:rsidR="00C42785" w:rsidRPr="00771D14" w:rsidRDefault="00C42785" w:rsidP="00C42785">
      <w:pPr>
        <w:pStyle w:val="Heading2"/>
        <w:rPr>
          <w:lang w:val="en-GB"/>
        </w:rPr>
      </w:pPr>
      <w:r w:rsidRPr="00771D14">
        <w:rPr>
          <w:lang w:val="en-GB"/>
        </w:rPr>
        <w:lastRenderedPageBreak/>
        <w:t>Members of a future Expert Group</w:t>
      </w:r>
    </w:p>
    <w:p w14:paraId="0690F32C" w14:textId="048BBA36" w:rsidR="00C42785" w:rsidRPr="00771D14" w:rsidRDefault="00E443B3" w:rsidP="00405581">
      <w:pPr>
        <w:pStyle w:val="Standardtext"/>
        <w:rPr>
          <w:lang w:val="en-GB"/>
        </w:rPr>
      </w:pPr>
      <w:r w:rsidRPr="00771D14">
        <w:rPr>
          <w:lang w:val="en-GB"/>
        </w:rPr>
        <w:t xml:space="preserve">A successful future work of SWIMWAY will benefit greatly by members who are motivated to participate by the relevance of the meetings for their work. For this purpose and in order to enable </w:t>
      </w:r>
      <w:r w:rsidR="00C42785" w:rsidRPr="00771D14">
        <w:rPr>
          <w:lang w:val="en-GB"/>
        </w:rPr>
        <w:t>effective</w:t>
      </w:r>
      <w:r w:rsidRPr="00771D14">
        <w:rPr>
          <w:lang w:val="en-GB"/>
        </w:rPr>
        <w:t xml:space="preserve"> coordination and communication throughout the various decision levels, taking on board the diverse actors and decision makers will be key to success. </w:t>
      </w:r>
      <w:r w:rsidR="003B33CA">
        <w:rPr>
          <w:lang w:val="en-GB"/>
        </w:rPr>
        <w:t>As recommended by Dänhardt (2019), one next step may be a s</w:t>
      </w:r>
      <w:r w:rsidR="00FD18C2" w:rsidRPr="00771D14">
        <w:rPr>
          <w:lang w:val="en-GB"/>
        </w:rPr>
        <w:t>takeholder analysis: Whom to integrate, why and when?</w:t>
      </w:r>
    </w:p>
    <w:p w14:paraId="42577F97" w14:textId="05A22C19" w:rsidR="00E443B3" w:rsidRPr="00771D14" w:rsidRDefault="00E443B3" w:rsidP="00405581">
      <w:pPr>
        <w:pStyle w:val="Standardtext"/>
        <w:rPr>
          <w:lang w:val="en-GB"/>
        </w:rPr>
      </w:pPr>
      <w:r w:rsidRPr="00771D14">
        <w:rPr>
          <w:lang w:val="en-GB"/>
        </w:rPr>
        <w:t xml:space="preserve">The science-based work of a future SWIMWAY group will have be maintained in support of operating on a best-knowledge and best-practice baseline. The focus of the current scientific, project-based work in SWIMWAY is the bottleneck concept which includes natural mortality, fishing mortality and life-cycle blockers (“train stoppers”) such as coastal and upstream barriers. This calls for </w:t>
      </w:r>
      <w:r w:rsidR="003B33CA" w:rsidRPr="00771D14">
        <w:rPr>
          <w:lang w:val="en-GB"/>
        </w:rPr>
        <w:t>i</w:t>
      </w:r>
      <w:r w:rsidR="003B33CA">
        <w:rPr>
          <w:lang w:val="en-GB"/>
        </w:rPr>
        <w:t>nvolving</w:t>
      </w:r>
      <w:r w:rsidR="003B33CA" w:rsidRPr="00771D14">
        <w:rPr>
          <w:lang w:val="en-GB"/>
        </w:rPr>
        <w:t xml:space="preserve"> </w:t>
      </w:r>
      <w:r w:rsidRPr="00771D14">
        <w:rPr>
          <w:lang w:val="en-GB"/>
        </w:rPr>
        <w:t xml:space="preserve">fishermen and water managers </w:t>
      </w:r>
      <w:r w:rsidR="003B33CA">
        <w:rPr>
          <w:lang w:val="en-GB"/>
        </w:rPr>
        <w:t>for relevant topics of the</w:t>
      </w:r>
      <w:r w:rsidRPr="00771D14">
        <w:rPr>
          <w:lang w:val="en-GB"/>
        </w:rPr>
        <w:t xml:space="preserve"> future SWIMWAY group under the TWSC.</w:t>
      </w:r>
    </w:p>
    <w:p w14:paraId="4B7A3075" w14:textId="7C099878" w:rsidR="003B33CA" w:rsidRPr="00771D14" w:rsidRDefault="003B33CA" w:rsidP="003B33CA">
      <w:pPr>
        <w:pStyle w:val="Standardtext"/>
        <w:rPr>
          <w:lang w:val="en-GB"/>
        </w:rPr>
      </w:pPr>
      <w:r w:rsidRPr="00771D14">
        <w:rPr>
          <w:lang w:val="en-GB"/>
        </w:rPr>
        <w:t xml:space="preserve">The topic of sustainable fisheries in a trilateral context </w:t>
      </w:r>
      <w:r>
        <w:rPr>
          <w:lang w:val="en-GB"/>
        </w:rPr>
        <w:t>is</w:t>
      </w:r>
      <w:r w:rsidRPr="00771D14">
        <w:rPr>
          <w:lang w:val="en-GB"/>
        </w:rPr>
        <w:t xml:space="preserve"> </w:t>
      </w:r>
      <w:r>
        <w:rPr>
          <w:lang w:val="en-GB"/>
        </w:rPr>
        <w:t xml:space="preserve">overall </w:t>
      </w:r>
      <w:r w:rsidRPr="00771D14">
        <w:rPr>
          <w:lang w:val="en-GB"/>
        </w:rPr>
        <w:t xml:space="preserve">tackled by TG-M, </w:t>
      </w:r>
      <w:r>
        <w:rPr>
          <w:lang w:val="en-GB"/>
        </w:rPr>
        <w:t>while it is currently taken up specifically as one of four key management topics</w:t>
      </w:r>
      <w:r w:rsidRPr="00771D14">
        <w:rPr>
          <w:lang w:val="en-GB"/>
        </w:rPr>
        <w:t xml:space="preserve"> under the Single Integrated Management Plan (SIMP)</w:t>
      </w:r>
      <w:r>
        <w:rPr>
          <w:lang w:val="en-GB"/>
        </w:rPr>
        <w:t>.-</w:t>
      </w:r>
    </w:p>
    <w:p w14:paraId="5E80D17A" w14:textId="39825BAD" w:rsidR="00E443B3" w:rsidRPr="00771D14" w:rsidRDefault="003B33CA" w:rsidP="00243C53">
      <w:pPr>
        <w:pStyle w:val="Standardtext"/>
        <w:rPr>
          <w:lang w:val="en-GB"/>
        </w:rPr>
      </w:pPr>
      <w:r w:rsidRPr="00771D14">
        <w:rPr>
          <w:lang w:val="en-GB"/>
        </w:rPr>
        <w:t xml:space="preserve">TG-M has underlined their recommendation to the ad hoc WG-SWIMWAY that a possible future group should concentrate on fish and not include fisheries, thus leaving the policy part with TG-M (TG-M 20-prelim and TG-M 20-2). </w:t>
      </w:r>
    </w:p>
    <w:p w14:paraId="03ED8F9B" w14:textId="2B32FF81" w:rsidR="00E443B3" w:rsidRPr="00771D14" w:rsidRDefault="00E443B3" w:rsidP="00E443B3">
      <w:pPr>
        <w:pStyle w:val="Heading1"/>
        <w:rPr>
          <w:lang w:val="en-GB"/>
        </w:rPr>
      </w:pPr>
      <w:r w:rsidRPr="00771D14">
        <w:rPr>
          <w:rFonts w:ascii="Georgia" w:hAnsi="Georgia" w:cs="Times New Roman"/>
          <w:sz w:val="20"/>
          <w:szCs w:val="22"/>
          <w:lang w:val="en-GB"/>
        </w:rPr>
        <w:t>.</w:t>
      </w:r>
      <w:r w:rsidRPr="00771D14">
        <w:rPr>
          <w:lang w:val="en-GB"/>
        </w:rPr>
        <w:br w:type="page"/>
      </w:r>
    </w:p>
    <w:p w14:paraId="3A828669" w14:textId="77777777" w:rsidR="003C124C" w:rsidRPr="00771D14" w:rsidRDefault="00AE49BC" w:rsidP="003C124C">
      <w:pPr>
        <w:pStyle w:val="Heading1"/>
        <w:ind w:left="360" w:hanging="360"/>
        <w:rPr>
          <w:rFonts w:eastAsia="Calibri"/>
          <w:color w:val="0078B6"/>
          <w:szCs w:val="36"/>
          <w:lang w:val="en-GB"/>
        </w:rPr>
      </w:pPr>
      <w:r w:rsidRPr="00771D14">
        <w:rPr>
          <w:lang w:val="en-GB"/>
        </w:rPr>
        <w:lastRenderedPageBreak/>
        <w:t xml:space="preserve">ANNEX 1: </w:t>
      </w:r>
      <w:r w:rsidR="003C124C" w:rsidRPr="00771D14">
        <w:rPr>
          <w:rFonts w:eastAsia="Calibri"/>
          <w:color w:val="0078B6"/>
          <w:szCs w:val="36"/>
          <w:lang w:val="en-GB"/>
        </w:rPr>
        <w:t>Ad hoc Working Group Swimway Vision Initiation 2019</w:t>
      </w:r>
    </w:p>
    <w:p w14:paraId="3C6B3C1E" w14:textId="77777777" w:rsidR="003C124C" w:rsidRPr="00771D14" w:rsidRDefault="003C124C" w:rsidP="003C124C">
      <w:pPr>
        <w:tabs>
          <w:tab w:val="left" w:pos="142"/>
        </w:tabs>
        <w:spacing w:after="200" w:line="276" w:lineRule="auto"/>
        <w:jc w:val="center"/>
        <w:rPr>
          <w:rFonts w:ascii="Arial" w:eastAsia="Calibri" w:hAnsi="Arial" w:cs="Arial"/>
          <w:color w:val="0078B6"/>
          <w:sz w:val="28"/>
          <w:szCs w:val="36"/>
          <w:lang w:val="en-GB"/>
        </w:rPr>
      </w:pPr>
      <w:r w:rsidRPr="00771D14">
        <w:rPr>
          <w:rFonts w:ascii="Arial" w:eastAsia="Calibri" w:hAnsi="Arial" w:cs="Arial"/>
          <w:color w:val="0078B6"/>
          <w:sz w:val="28"/>
          <w:szCs w:val="36"/>
          <w:lang w:val="en-GB"/>
        </w:rPr>
        <w:t>(ad hoc WG-Swimway)</w:t>
      </w:r>
    </w:p>
    <w:p w14:paraId="78EE19CB" w14:textId="77777777" w:rsidR="003C124C" w:rsidRPr="00771D14" w:rsidRDefault="003C124C" w:rsidP="003C124C">
      <w:pPr>
        <w:tabs>
          <w:tab w:val="left" w:pos="142"/>
        </w:tabs>
        <w:spacing w:after="200" w:line="276" w:lineRule="auto"/>
        <w:jc w:val="center"/>
        <w:rPr>
          <w:rFonts w:ascii="Arial" w:eastAsia="Calibri" w:hAnsi="Arial" w:cs="Arial"/>
          <w:color w:val="0078B6"/>
          <w:sz w:val="28"/>
          <w:szCs w:val="36"/>
          <w:lang w:val="en-GB"/>
        </w:rPr>
      </w:pPr>
      <w:r w:rsidRPr="00771D14">
        <w:rPr>
          <w:rFonts w:ascii="Arial" w:eastAsia="Calibri" w:hAnsi="Arial" w:cs="Arial"/>
          <w:color w:val="0078B6"/>
          <w:sz w:val="28"/>
          <w:szCs w:val="36"/>
          <w:lang w:val="en-GB"/>
        </w:rPr>
        <w:t xml:space="preserve">Terms of Reference </w:t>
      </w:r>
    </w:p>
    <w:p w14:paraId="61608B36" w14:textId="356CA917" w:rsidR="003C124C" w:rsidRPr="00771D14" w:rsidRDefault="003C124C" w:rsidP="003C124C">
      <w:pPr>
        <w:pStyle w:val="Header1centred"/>
        <w:rPr>
          <w:rFonts w:ascii="Georgia" w:hAnsi="Georgia"/>
          <w:i/>
          <w:iCs/>
          <w:sz w:val="20"/>
          <w:szCs w:val="20"/>
        </w:rPr>
      </w:pPr>
      <w:r w:rsidRPr="00771D14">
        <w:rPr>
          <w:rFonts w:ascii="Georgia" w:hAnsi="Georgia"/>
          <w:i/>
          <w:iCs/>
          <w:sz w:val="20"/>
          <w:szCs w:val="20"/>
        </w:rPr>
        <w:t>(WSB-28/7.1/1 TWSC TOR of groups, amended with SDG</w:t>
      </w:r>
      <w:r w:rsidR="004F35FE">
        <w:rPr>
          <w:rFonts w:ascii="Georgia" w:hAnsi="Georgia"/>
          <w:i/>
          <w:iCs/>
          <w:sz w:val="20"/>
          <w:szCs w:val="20"/>
        </w:rPr>
        <w:t xml:space="preserve"> consideration</w:t>
      </w:r>
      <w:r w:rsidRPr="00771D14">
        <w:rPr>
          <w:rFonts w:ascii="Georgia" w:hAnsi="Georgia"/>
          <w:i/>
          <w:iCs/>
          <w:sz w:val="20"/>
          <w:szCs w:val="20"/>
        </w:rPr>
        <w:t xml:space="preserve"> 2019-03-14)</w:t>
      </w:r>
    </w:p>
    <w:p w14:paraId="4FC98A3B" w14:textId="77777777" w:rsidR="003C124C" w:rsidRPr="00771D14" w:rsidRDefault="003C124C" w:rsidP="003C124C">
      <w:pPr>
        <w:pStyle w:val="Header1centred"/>
      </w:pPr>
    </w:p>
    <w:p w14:paraId="01C8DDB1" w14:textId="77777777" w:rsidR="003C124C" w:rsidRPr="00771D14" w:rsidRDefault="003C124C" w:rsidP="003C124C">
      <w:pPr>
        <w:pStyle w:val="Untertitel1"/>
      </w:pPr>
      <w:r w:rsidRPr="00771D14">
        <w:t>Background</w:t>
      </w:r>
    </w:p>
    <w:p w14:paraId="5FF29BA3" w14:textId="46A79C74" w:rsidR="003C124C" w:rsidRPr="00771D14" w:rsidRDefault="003C124C" w:rsidP="00405581">
      <w:pPr>
        <w:pStyle w:val="Standardtext"/>
        <w:rPr>
          <w:lang w:val="en-GB"/>
        </w:rPr>
      </w:pPr>
      <w:r w:rsidRPr="00771D14">
        <w:rPr>
          <w:lang w:val="en-GB"/>
        </w:rPr>
        <w:t>At the Ministerial Council Meetings in 2014 and 2018, the three Wadden Sea countries confirmed the wish to implement the five Trilateral Fish Targets, which were adopted as part of the Wadden Sea Plan at the Trilateral Governmental Conference in 2010. These targets aim at improving the conservation status of fish spending at least part of their life cycle in the Wadden Sea. They acknowledge the uniqueness of the fish community in the Wadden Sea, with several fish populations having declined in recent decades, due to largely unknown reasons. To that effect, the Trilateral Swimway Vision 2018-2024 was approved by the ministers at the 13</w:t>
      </w:r>
      <w:r w:rsidRPr="004F35FE">
        <w:rPr>
          <w:vertAlign w:val="superscript"/>
          <w:lang w:val="en-GB"/>
        </w:rPr>
        <w:t>th</w:t>
      </w:r>
      <w:r w:rsidR="004F35FE">
        <w:rPr>
          <w:lang w:val="en-GB"/>
        </w:rPr>
        <w:t xml:space="preserve"> </w:t>
      </w:r>
      <w:r w:rsidRPr="00771D14">
        <w:rPr>
          <w:lang w:val="en-GB"/>
        </w:rPr>
        <w:t>Trilateral Wadden Sea Conference on the Protection of the Wadden Sea on May 18th in Leeuwarden, The Netherlands.</w:t>
      </w:r>
    </w:p>
    <w:p w14:paraId="1AD15D70" w14:textId="4E3489D1" w:rsidR="003C124C" w:rsidRPr="00771D14" w:rsidRDefault="003C124C" w:rsidP="00816B49">
      <w:pPr>
        <w:pStyle w:val="Standardtext"/>
        <w:rPr>
          <w:rFonts w:ascii="Times New Roman" w:hAnsi="Times New Roman"/>
          <w:b/>
          <w:lang w:val="en-GB"/>
        </w:rPr>
      </w:pPr>
      <w:r w:rsidRPr="00771D14">
        <w:rPr>
          <w:lang w:val="en-GB"/>
        </w:rPr>
        <w:t>Since further preparatory work is needed before it is considered feasible to establish e.g. an Expert Group Fish, the group of authors of the Swimway Vision has recommended that they continue through 2019 as an ad hoc Working Group Swimway Vision Initiation under the auspices of TG-M according to the approved organisational set-up of the Trilateral Wadden Sea Cooperation. This Working Group could possibly be replaced by an Expert Group Fish (or Swimway) in 2020</w:t>
      </w:r>
      <w:r w:rsidRPr="00243C53">
        <w:rPr>
          <w:vertAlign w:val="superscript"/>
          <w:lang w:val="en-GB"/>
        </w:rPr>
        <w:footnoteReference w:id="1"/>
      </w:r>
      <w:r w:rsidR="00243C53">
        <w:rPr>
          <w:lang w:val="en-GB"/>
        </w:rPr>
        <w:t xml:space="preserve">, </w:t>
      </w:r>
      <w:r w:rsidRPr="00771D14">
        <w:rPr>
          <w:lang w:val="en-GB"/>
        </w:rPr>
        <w:t xml:space="preserve">which this Terms of Reference (TOR) reflects as it only comprises tasks to be completed in 2019. </w:t>
      </w:r>
      <w:r w:rsidR="004F35FE" w:rsidRPr="004F35FE">
        <w:rPr>
          <w:lang w:val="en-GB"/>
        </w:rPr>
        <w:t>In fulfilling its mandate, this group will duly take into account and seek to promote the achievement of the United Nations Sustainable Development Goals (SDG) insofar as these are relevant to its work.</w:t>
      </w:r>
      <w:r w:rsidR="004F35FE">
        <w:rPr>
          <w:lang w:val="en-GB"/>
        </w:rPr>
        <w:t xml:space="preserve"> </w:t>
      </w:r>
      <w:r w:rsidRPr="00771D14">
        <w:rPr>
          <w:lang w:val="en-GB"/>
        </w:rPr>
        <w:t>The group reports to TG-M but also to TG-MA if appropriate.</w:t>
      </w:r>
    </w:p>
    <w:p w14:paraId="6CFA4550" w14:textId="77777777" w:rsidR="003C124C" w:rsidRPr="00771D14" w:rsidRDefault="003C124C" w:rsidP="003C124C">
      <w:pPr>
        <w:pStyle w:val="Untertitel1"/>
      </w:pPr>
      <w:r w:rsidRPr="00771D14">
        <w:t>Objective</w:t>
      </w:r>
    </w:p>
    <w:p w14:paraId="7447B0A1" w14:textId="452ED08D" w:rsidR="003C124C" w:rsidRPr="00771D14" w:rsidRDefault="003C124C" w:rsidP="00816B49">
      <w:pPr>
        <w:pStyle w:val="Standardtext"/>
        <w:rPr>
          <w:rFonts w:ascii="Times New Roman" w:hAnsi="Times New Roman"/>
          <w:b/>
          <w:lang w:val="en-GB"/>
        </w:rPr>
      </w:pPr>
      <w:r w:rsidRPr="00771D14">
        <w:rPr>
          <w:lang w:val="en-GB"/>
        </w:rPr>
        <w:t>The Swimway Vision is based on 4 pillars (1. Research &amp; Monitoring, 2. Policy, 3. Measures and 4. Stakeholder involvement, communication and education). The overarching objective of the ad-hoc Working Group Swimway Vision Initiation is to solve tasks linked to and defined by 8 activities as they appear from the work programme for 2019 which could lead to a formation of an Expert Group Fish in 2020. The aim after 2019 could be to further elaborate and implement the Swimway Action Programme as an integrated approach to achieve the Trilateral Fish Targets as instructed in para. 13 and Annex 3 of the Leeuwarden Declaration (LD).</w:t>
      </w:r>
    </w:p>
    <w:p w14:paraId="7D5005D3" w14:textId="77777777" w:rsidR="003C124C" w:rsidRPr="00771D14" w:rsidRDefault="003C124C" w:rsidP="003C124C">
      <w:pPr>
        <w:pStyle w:val="Untertitel1"/>
        <w:rPr>
          <w:szCs w:val="22"/>
        </w:rPr>
      </w:pPr>
      <w:r w:rsidRPr="00771D14">
        <w:rPr>
          <w:szCs w:val="22"/>
        </w:rPr>
        <w:t>Tasks</w:t>
      </w:r>
    </w:p>
    <w:p w14:paraId="01FC5AE1" w14:textId="77777777" w:rsidR="003C124C" w:rsidRPr="00771D14" w:rsidRDefault="003C124C" w:rsidP="00816B49">
      <w:pPr>
        <w:pStyle w:val="ListParagraph"/>
        <w:numPr>
          <w:ilvl w:val="0"/>
          <w:numId w:val="1"/>
        </w:numPr>
        <w:rPr>
          <w:rFonts w:ascii="Georgia" w:hAnsi="Georgia"/>
          <w:bCs/>
          <w:color w:val="000000"/>
          <w:sz w:val="20"/>
          <w:szCs w:val="20"/>
          <w:lang w:val="en-GB" w:eastAsia="da-DK"/>
        </w:rPr>
      </w:pPr>
      <w:r w:rsidRPr="00771D14">
        <w:rPr>
          <w:rFonts w:ascii="Georgia" w:hAnsi="Georgia"/>
          <w:bCs/>
          <w:color w:val="000000"/>
          <w:sz w:val="20"/>
          <w:szCs w:val="20"/>
          <w:lang w:val="en-GB" w:eastAsia="da-DK"/>
        </w:rPr>
        <w:t>Coordination and implementation of the Swimway Vision and the further elaboration of the Swimway Action Programme;</w:t>
      </w:r>
    </w:p>
    <w:p w14:paraId="49371A84" w14:textId="77777777" w:rsidR="003C124C" w:rsidRPr="00771D14" w:rsidRDefault="003C124C" w:rsidP="00816B49">
      <w:pPr>
        <w:pStyle w:val="ListParagraph"/>
        <w:numPr>
          <w:ilvl w:val="0"/>
          <w:numId w:val="1"/>
        </w:numPr>
        <w:rPr>
          <w:rFonts w:ascii="Georgia" w:hAnsi="Georgia"/>
          <w:bCs/>
          <w:color w:val="000000"/>
          <w:sz w:val="20"/>
          <w:szCs w:val="20"/>
          <w:lang w:val="en-GB" w:eastAsia="da-DK"/>
        </w:rPr>
      </w:pPr>
      <w:r w:rsidRPr="00771D14">
        <w:rPr>
          <w:rFonts w:ascii="Georgia" w:hAnsi="Georgia"/>
          <w:bCs/>
          <w:color w:val="000000"/>
          <w:sz w:val="20"/>
          <w:szCs w:val="20"/>
          <w:lang w:val="en-GB" w:eastAsia="da-DK"/>
        </w:rPr>
        <w:t>Elaborate TOR and a work plan for a possible Expert Group Fish;</w:t>
      </w:r>
    </w:p>
    <w:p w14:paraId="62011D4F" w14:textId="77777777" w:rsidR="003C124C" w:rsidRPr="00771D14" w:rsidRDefault="003C124C" w:rsidP="00816B49">
      <w:pPr>
        <w:pStyle w:val="ListParagraph"/>
        <w:numPr>
          <w:ilvl w:val="0"/>
          <w:numId w:val="1"/>
        </w:numPr>
        <w:rPr>
          <w:rFonts w:ascii="Georgia" w:hAnsi="Georgia"/>
          <w:bCs/>
          <w:color w:val="000000"/>
          <w:sz w:val="20"/>
          <w:szCs w:val="20"/>
          <w:lang w:val="en-GB" w:eastAsia="da-DK"/>
        </w:rPr>
      </w:pPr>
      <w:r w:rsidRPr="00771D14">
        <w:rPr>
          <w:rFonts w:ascii="Georgia" w:hAnsi="Georgia"/>
          <w:bCs/>
          <w:color w:val="000000"/>
          <w:sz w:val="20"/>
          <w:szCs w:val="20"/>
          <w:lang w:val="en-GB" w:eastAsia="da-DK"/>
        </w:rPr>
        <w:t>Initiate activities as described in the above-mentioned work</w:t>
      </w:r>
      <w:r w:rsidRPr="00771D14">
        <w:rPr>
          <w:rFonts w:ascii="Georgia" w:hAnsi="Georgia"/>
          <w:sz w:val="20"/>
          <w:szCs w:val="20"/>
          <w:lang w:val="en-GB" w:eastAsia="de-DE"/>
        </w:rPr>
        <w:t xml:space="preserve"> programme </w:t>
      </w:r>
      <w:r w:rsidRPr="00771D14">
        <w:rPr>
          <w:rFonts w:ascii="Georgia" w:hAnsi="Georgia"/>
          <w:bCs/>
          <w:color w:val="000000"/>
          <w:sz w:val="20"/>
          <w:szCs w:val="20"/>
          <w:lang w:val="en-GB" w:eastAsia="da-DK"/>
        </w:rPr>
        <w:t>for 2019;</w:t>
      </w:r>
    </w:p>
    <w:p w14:paraId="5FCE4AFF" w14:textId="77777777" w:rsidR="003C124C" w:rsidRPr="00771D14" w:rsidRDefault="003C124C" w:rsidP="00816B49">
      <w:pPr>
        <w:pStyle w:val="ListParagraph"/>
        <w:numPr>
          <w:ilvl w:val="0"/>
          <w:numId w:val="1"/>
        </w:numPr>
        <w:rPr>
          <w:rFonts w:ascii="Georgia" w:hAnsi="Georgia"/>
          <w:bCs/>
          <w:color w:val="000000"/>
          <w:sz w:val="20"/>
          <w:szCs w:val="20"/>
          <w:lang w:val="en-GB" w:eastAsia="da-DK"/>
        </w:rPr>
      </w:pPr>
      <w:r w:rsidRPr="00771D14">
        <w:rPr>
          <w:rFonts w:ascii="Georgia" w:hAnsi="Georgia"/>
          <w:bCs/>
          <w:color w:val="000000"/>
          <w:sz w:val="20"/>
          <w:szCs w:val="20"/>
          <w:lang w:val="en-GB" w:eastAsia="da-DK"/>
        </w:rPr>
        <w:t>Prepare, organize and hold a “Swimway Summit” event in October 2019 for stakeholders and key participants etc.</w:t>
      </w:r>
    </w:p>
    <w:p w14:paraId="081FF6AD" w14:textId="77777777" w:rsidR="003C124C" w:rsidRPr="00771D14" w:rsidRDefault="003C124C" w:rsidP="003C124C">
      <w:pPr>
        <w:pStyle w:val="Untertitel1"/>
        <w:rPr>
          <w:rFonts w:ascii="Times New Roman" w:hAnsi="Times New Roman" w:cs="Times New Roman"/>
          <w:b w:val="0"/>
          <w:szCs w:val="22"/>
        </w:rPr>
      </w:pPr>
    </w:p>
    <w:p w14:paraId="4D46FCC0" w14:textId="77777777" w:rsidR="003C124C" w:rsidRPr="00771D14" w:rsidRDefault="003C124C" w:rsidP="003C124C">
      <w:pPr>
        <w:pStyle w:val="Untertitel1"/>
      </w:pPr>
      <w:r w:rsidRPr="00771D14">
        <w:br w:type="page"/>
      </w:r>
    </w:p>
    <w:p w14:paraId="375B2A8A" w14:textId="77777777" w:rsidR="003C124C" w:rsidRPr="00771D14" w:rsidRDefault="003C124C" w:rsidP="003C124C">
      <w:pPr>
        <w:pStyle w:val="Untertitel1"/>
        <w:rPr>
          <w:b w:val="0"/>
          <w:szCs w:val="22"/>
        </w:rPr>
      </w:pPr>
      <w:r w:rsidRPr="00771D14">
        <w:lastRenderedPageBreak/>
        <w:t>Deliverables</w:t>
      </w:r>
    </w:p>
    <w:p w14:paraId="3F7BD357" w14:textId="77777777" w:rsidR="003C124C" w:rsidRPr="00771D14" w:rsidRDefault="003C124C" w:rsidP="00816B49">
      <w:pPr>
        <w:pStyle w:val="Untertitel1"/>
        <w:numPr>
          <w:ilvl w:val="0"/>
          <w:numId w:val="2"/>
        </w:numPr>
        <w:spacing w:after="0"/>
        <w:rPr>
          <w:rFonts w:ascii="Georgia" w:hAnsi="Georgia" w:cs="Times New Roman"/>
          <w:b w:val="0"/>
          <w:color w:val="000000" w:themeColor="text1"/>
          <w:sz w:val="20"/>
          <w:szCs w:val="20"/>
        </w:rPr>
      </w:pPr>
      <w:r w:rsidRPr="00771D14">
        <w:rPr>
          <w:rFonts w:ascii="Georgia" w:hAnsi="Georgia" w:cs="Times New Roman"/>
          <w:b w:val="0"/>
          <w:sz w:val="20"/>
          <w:szCs w:val="20"/>
        </w:rPr>
        <w:t>The specific deliveries corresponding to each of the above listed tasks will take place according to the above mentioned Swimway work programme;</w:t>
      </w:r>
    </w:p>
    <w:p w14:paraId="0C6776F7" w14:textId="77777777" w:rsidR="003C124C" w:rsidRPr="00771D14" w:rsidRDefault="003C124C" w:rsidP="00816B49">
      <w:pPr>
        <w:pStyle w:val="Untertitel1"/>
        <w:numPr>
          <w:ilvl w:val="0"/>
          <w:numId w:val="2"/>
        </w:numPr>
        <w:spacing w:after="0"/>
        <w:rPr>
          <w:rFonts w:ascii="Georgia" w:hAnsi="Georgia" w:cs="Times New Roman"/>
          <w:b w:val="0"/>
          <w:color w:val="000000" w:themeColor="text1"/>
          <w:sz w:val="20"/>
          <w:szCs w:val="20"/>
        </w:rPr>
      </w:pPr>
      <w:r w:rsidRPr="00771D14">
        <w:rPr>
          <w:rFonts w:ascii="Georgia" w:hAnsi="Georgia" w:cs="Times New Roman"/>
          <w:b w:val="0"/>
          <w:sz w:val="20"/>
          <w:szCs w:val="20"/>
        </w:rPr>
        <w:t xml:space="preserve"> Regular status reporting to TG-M regarding the implementation of the above tasks, including contributions to the on-going budget- and work programme control by CWSS;</w:t>
      </w:r>
    </w:p>
    <w:p w14:paraId="784BAAB5" w14:textId="77777777" w:rsidR="003C124C" w:rsidRPr="00771D14" w:rsidRDefault="003C124C" w:rsidP="00816B49">
      <w:pPr>
        <w:pStyle w:val="Untertitel1"/>
        <w:numPr>
          <w:ilvl w:val="0"/>
          <w:numId w:val="2"/>
        </w:numPr>
        <w:spacing w:after="0"/>
        <w:rPr>
          <w:rFonts w:ascii="Georgia" w:hAnsi="Georgia" w:cs="Times New Roman"/>
          <w:b w:val="0"/>
          <w:color w:val="000000" w:themeColor="text1"/>
          <w:sz w:val="20"/>
          <w:szCs w:val="20"/>
        </w:rPr>
      </w:pPr>
      <w:r w:rsidRPr="00771D14">
        <w:rPr>
          <w:rFonts w:ascii="Georgia" w:hAnsi="Georgia" w:cs="Times New Roman"/>
          <w:b w:val="0"/>
          <w:sz w:val="20"/>
          <w:szCs w:val="20"/>
        </w:rPr>
        <w:t>A final report from the group on the overall status of the implementation of the Swimway Vision, as a possible transition to the formation of a subsequent Expert Group Fish.</w:t>
      </w:r>
    </w:p>
    <w:p w14:paraId="09E0DED0" w14:textId="77777777" w:rsidR="003C124C" w:rsidRPr="00771D14" w:rsidRDefault="003C124C" w:rsidP="003C124C">
      <w:pPr>
        <w:pStyle w:val="Untertitel1"/>
        <w:rPr>
          <w:rFonts w:ascii="Times New Roman" w:hAnsi="Times New Roman" w:cs="Times New Roman"/>
        </w:rPr>
      </w:pPr>
    </w:p>
    <w:p w14:paraId="12D08B2F" w14:textId="77777777" w:rsidR="003C124C" w:rsidRPr="00771D14" w:rsidRDefault="003C124C" w:rsidP="003C124C">
      <w:pPr>
        <w:pStyle w:val="Untertitel1"/>
      </w:pPr>
      <w:r w:rsidRPr="00771D14">
        <w:t>Composition/Membership</w:t>
      </w:r>
    </w:p>
    <w:p w14:paraId="657857B3" w14:textId="77777777" w:rsidR="003C124C" w:rsidRPr="00771D14" w:rsidRDefault="003C124C" w:rsidP="00405581">
      <w:pPr>
        <w:pStyle w:val="Standardtext"/>
        <w:rPr>
          <w:lang w:val="en-GB"/>
        </w:rPr>
      </w:pPr>
      <w:r w:rsidRPr="00771D14">
        <w:rPr>
          <w:lang w:val="en-GB"/>
        </w:rPr>
        <w:t>The ad-hoc Working Group Swimway Vision Initiation consists of the present Swimway Vision and Action Programme core-writing group plus the Swimway coordinator. The Swimway Coordinator will be responsible for coordinating the ad-hoc Working Group. The CWSS will take part in the meetings and will provide logistic and other assistance, as set out in the above-mentioned work programme. The group can, in agreement with TG-M to whom they refer, supplement itself as needed, either on a temporary or a permanent basis.</w:t>
      </w:r>
    </w:p>
    <w:p w14:paraId="54C94EC2" w14:textId="77777777" w:rsidR="003C124C" w:rsidRPr="00771D14" w:rsidRDefault="003C124C" w:rsidP="003C124C">
      <w:pPr>
        <w:rPr>
          <w:highlight w:val="yellow"/>
          <w:lang w:val="en-GB"/>
        </w:rPr>
      </w:pPr>
    </w:p>
    <w:p w14:paraId="49DF556C" w14:textId="77777777" w:rsidR="003C124C" w:rsidRPr="00771D14" w:rsidRDefault="003C124C" w:rsidP="003C124C">
      <w:pPr>
        <w:pStyle w:val="Untertitel1"/>
      </w:pPr>
      <w:r w:rsidRPr="00771D14">
        <w:t>Time schedule</w:t>
      </w:r>
    </w:p>
    <w:p w14:paraId="17DCEE1F" w14:textId="77777777" w:rsidR="003C124C" w:rsidRPr="00771D14" w:rsidRDefault="003C124C" w:rsidP="00405581">
      <w:pPr>
        <w:pStyle w:val="Standardtext"/>
        <w:rPr>
          <w:lang w:val="en-GB"/>
        </w:rPr>
      </w:pPr>
      <w:r w:rsidRPr="00771D14">
        <w:rPr>
          <w:lang w:val="en-GB"/>
        </w:rPr>
        <w:t>The ad-hoc Working Group will work through 2019, and could cease to exist if an Expert Group Fish is established in 2020.</w:t>
      </w:r>
    </w:p>
    <w:p w14:paraId="151CDDEA" w14:textId="77777777" w:rsidR="00816B49" w:rsidRPr="00771D14" w:rsidRDefault="00816B49" w:rsidP="00AE49BC">
      <w:pPr>
        <w:spacing w:after="120" w:line="276" w:lineRule="auto"/>
        <w:rPr>
          <w:rFonts w:ascii="Arial" w:hAnsi="Arial" w:cs="Arial"/>
          <w:b/>
          <w:szCs w:val="28"/>
          <w:lang w:val="en-GB"/>
        </w:rPr>
      </w:pPr>
    </w:p>
    <w:p w14:paraId="5AD5DC9D" w14:textId="3003994D" w:rsidR="00AE49BC" w:rsidRPr="00771D14" w:rsidRDefault="00AE49BC" w:rsidP="00AE49BC">
      <w:pPr>
        <w:spacing w:after="120" w:line="276" w:lineRule="auto"/>
        <w:rPr>
          <w:rFonts w:ascii="Arial" w:hAnsi="Arial" w:cs="Arial"/>
          <w:b/>
          <w:szCs w:val="28"/>
          <w:lang w:val="en-GB"/>
        </w:rPr>
      </w:pPr>
      <w:r w:rsidRPr="00771D14">
        <w:rPr>
          <w:rFonts w:ascii="Arial" w:hAnsi="Arial" w:cs="Arial"/>
          <w:b/>
          <w:szCs w:val="28"/>
          <w:lang w:val="en-GB"/>
        </w:rPr>
        <w:t>Composition/Membership</w:t>
      </w:r>
    </w:p>
    <w:p w14:paraId="597D5BC9" w14:textId="77777777" w:rsidR="00AE49BC" w:rsidRPr="00771D14" w:rsidRDefault="00AE49BC" w:rsidP="00405581">
      <w:pPr>
        <w:pStyle w:val="Standardtext"/>
        <w:rPr>
          <w:lang w:val="en-GB"/>
        </w:rPr>
      </w:pPr>
      <w:r w:rsidRPr="00771D14">
        <w:rPr>
          <w:lang w:val="en-GB"/>
        </w:rPr>
        <w:t>Chairperson with capacity to function as SWIMWAY Action Programme Coordinator.</w:t>
      </w:r>
    </w:p>
    <w:p w14:paraId="39371C51" w14:textId="77777777" w:rsidR="00AE49BC" w:rsidRPr="00771D14" w:rsidRDefault="00AE49BC" w:rsidP="00405581">
      <w:pPr>
        <w:pStyle w:val="Standardtext"/>
        <w:rPr>
          <w:lang w:val="en-GB"/>
        </w:rPr>
      </w:pPr>
      <w:r w:rsidRPr="00771D14">
        <w:rPr>
          <w:lang w:val="en-GB"/>
        </w:rPr>
        <w:t>Two members per region (DK, HH, LS, NL, SH) and NGOs, representing scientific expertise in Wadden Sea fish and/or monitoring and management measures. Attention should be paid to involvement of stakeholders and the right level of representatives from each region.</w:t>
      </w:r>
    </w:p>
    <w:p w14:paraId="1246114A" w14:textId="77777777" w:rsidR="00AE49BC" w:rsidRPr="00771D14" w:rsidRDefault="00AE49BC" w:rsidP="00405581">
      <w:pPr>
        <w:pStyle w:val="Standardtext"/>
        <w:rPr>
          <w:lang w:val="en-GB"/>
        </w:rPr>
      </w:pPr>
      <w:r w:rsidRPr="00771D14">
        <w:rPr>
          <w:lang w:val="en-GB"/>
        </w:rPr>
        <w:t>Participation by additional experts to SWIWMAY meetings and activities is welcome.</w:t>
      </w:r>
    </w:p>
    <w:p w14:paraId="251210C3" w14:textId="77777777" w:rsidR="00AE49BC" w:rsidRPr="00771D14" w:rsidRDefault="00AE49BC" w:rsidP="00AE49BC">
      <w:pPr>
        <w:spacing w:after="120" w:line="276" w:lineRule="auto"/>
        <w:rPr>
          <w:rFonts w:ascii="Arial" w:hAnsi="Arial" w:cs="Arial"/>
          <w:b/>
          <w:szCs w:val="28"/>
          <w:lang w:val="en-GB"/>
        </w:rPr>
      </w:pPr>
      <w:r w:rsidRPr="00771D14">
        <w:rPr>
          <w:rFonts w:ascii="Arial" w:hAnsi="Arial" w:cs="Arial"/>
          <w:b/>
          <w:szCs w:val="28"/>
          <w:lang w:val="en-GB"/>
        </w:rPr>
        <w:t>Time schedule</w:t>
      </w:r>
    </w:p>
    <w:p w14:paraId="4119CA41" w14:textId="77777777" w:rsidR="00AE49BC" w:rsidRPr="00771D14" w:rsidRDefault="00AE49BC" w:rsidP="00405581">
      <w:pPr>
        <w:pStyle w:val="Standardtext"/>
        <w:rPr>
          <w:lang w:val="en-GB"/>
        </w:rPr>
      </w:pPr>
      <w:r w:rsidRPr="00771D14">
        <w:rPr>
          <w:lang w:val="en-GB"/>
        </w:rPr>
        <w:t>According to the decision by the Ministerial Conference, the implementation of The Swimway Vision/Action Programme is foreseen to be accomplished within the German Presidency plus two years i.e. in the period 2020 – 2024.</w:t>
      </w:r>
    </w:p>
    <w:sectPr w:rsidR="00AE49BC" w:rsidRPr="00771D14" w:rsidSect="009148DD">
      <w:headerReference w:type="default" r:id="rId10"/>
      <w:footerReference w:type="default" r:id="rId11"/>
      <w:foot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25FD9" w14:textId="77777777" w:rsidR="0078664B" w:rsidRDefault="0078664B" w:rsidP="00B965C7">
      <w:r>
        <w:separator/>
      </w:r>
    </w:p>
    <w:p w14:paraId="776162B0" w14:textId="77777777" w:rsidR="00E64A65" w:rsidRDefault="00E64A65"/>
  </w:endnote>
  <w:endnote w:type="continuationSeparator" w:id="0">
    <w:p w14:paraId="432E0993" w14:textId="77777777" w:rsidR="0078664B" w:rsidRDefault="0078664B" w:rsidP="00B965C7">
      <w:r>
        <w:continuationSeparator/>
      </w:r>
    </w:p>
    <w:p w14:paraId="0F4AA602" w14:textId="77777777" w:rsidR="00E64A65" w:rsidRDefault="00E64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4331D4">
      <w:rPr>
        <w:rFonts w:ascii="Georgia" w:hAnsi="Georgia"/>
        <w:noProof/>
        <w:color w:val="808080" w:themeColor="background1" w:themeShade="80"/>
        <w:sz w:val="18"/>
        <w:szCs w:val="18"/>
      </w:rPr>
      <w:t>3</w:t>
    </w:r>
    <w:r w:rsidRPr="003C34F6">
      <w:rPr>
        <w:rFonts w:ascii="Georgia" w:hAnsi="Georgia"/>
        <w:color w:val="808080" w:themeColor="background1" w:themeShade="80"/>
        <w:sz w:val="18"/>
        <w:szCs w:val="18"/>
      </w:rPr>
      <w:fldChar w:fldCharType="end"/>
    </w:r>
  </w:p>
  <w:p w14:paraId="1474502A" w14:textId="77777777" w:rsidR="00E64A65" w:rsidRDefault="00E64A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de-DE" w:eastAsia="de-DE"/>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8B00E" w14:textId="77777777" w:rsidR="0078664B" w:rsidRDefault="0078664B" w:rsidP="00B965C7">
      <w:r>
        <w:separator/>
      </w:r>
    </w:p>
    <w:p w14:paraId="597E202F" w14:textId="77777777" w:rsidR="00E64A65" w:rsidRDefault="00E64A65"/>
  </w:footnote>
  <w:footnote w:type="continuationSeparator" w:id="0">
    <w:p w14:paraId="569422ED" w14:textId="77777777" w:rsidR="0078664B" w:rsidRDefault="0078664B" w:rsidP="00B965C7">
      <w:r>
        <w:continuationSeparator/>
      </w:r>
    </w:p>
    <w:p w14:paraId="68B66122" w14:textId="77777777" w:rsidR="00E64A65" w:rsidRDefault="00E64A65"/>
  </w:footnote>
  <w:footnote w:id="1">
    <w:p w14:paraId="711FB2E3" w14:textId="77777777" w:rsidR="003C124C" w:rsidRPr="00D249BD" w:rsidRDefault="003C124C" w:rsidP="003C124C">
      <w:pPr>
        <w:spacing w:line="276" w:lineRule="auto"/>
        <w:rPr>
          <w:sz w:val="20"/>
          <w:szCs w:val="20"/>
        </w:rPr>
      </w:pPr>
      <w:r>
        <w:rPr>
          <w:rStyle w:val="FootnoteReference"/>
        </w:rPr>
        <w:footnoteRef/>
      </w:r>
      <w:r w:rsidRPr="00D249BD">
        <w:t xml:space="preserve"> </w:t>
      </w:r>
      <w:r w:rsidRPr="00243C53">
        <w:rPr>
          <w:rStyle w:val="StandardtextZchn"/>
          <w:i/>
          <w:iCs/>
        </w:rPr>
        <w:t>Depending on discussions at the TWSC review process and decisions by the WSB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22E0" w14:textId="2E533B91" w:rsidR="00E64A65" w:rsidRDefault="002F5398" w:rsidP="00407A7A">
    <w:pPr>
      <w:pStyle w:val="Header"/>
    </w:pPr>
    <w:r>
      <w:rPr>
        <w:rFonts w:ascii="Georgia" w:hAnsi="Georgia"/>
        <w:color w:val="808080" w:themeColor="background1" w:themeShade="80"/>
        <w:sz w:val="18"/>
        <w:szCs w:val="18"/>
      </w:rPr>
      <w:t>WG-SWIMWAY</w:t>
    </w:r>
    <w:r w:rsidR="00A72074" w:rsidRPr="00A72074">
      <w:rPr>
        <w:rFonts w:ascii="Georgia" w:hAnsi="Georgia"/>
        <w:color w:val="808080" w:themeColor="background1" w:themeShade="80"/>
        <w:sz w:val="18"/>
        <w:szCs w:val="18"/>
      </w:rPr>
      <w:t xml:space="preserve"> </w:t>
    </w:r>
    <w:r w:rsidR="00F411B2">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sidR="008D7FDE">
      <w:rPr>
        <w:rFonts w:ascii="Georgia" w:hAnsi="Georgia"/>
        <w:color w:val="808080" w:themeColor="background1" w:themeShade="80"/>
        <w:sz w:val="18"/>
        <w:szCs w:val="18"/>
      </w:rPr>
      <w:t>2</w:t>
    </w:r>
    <w:r w:rsidR="00A72074" w:rsidRPr="00A72074">
      <w:rPr>
        <w:rFonts w:ascii="Georgia" w:hAnsi="Georgia"/>
        <w:color w:val="808080" w:themeColor="background1" w:themeShade="80"/>
        <w:sz w:val="18"/>
        <w:szCs w:val="18"/>
      </w:rPr>
      <w:t>/</w:t>
    </w:r>
    <w:r w:rsidR="007F758D">
      <w:rPr>
        <w:rFonts w:ascii="Georgia" w:hAnsi="Georgia"/>
        <w:color w:val="808080" w:themeColor="background1" w:themeShade="80"/>
        <w:sz w:val="18"/>
        <w:szCs w:val="18"/>
      </w:rPr>
      <w:t>7/2</w:t>
    </w:r>
    <w:r w:rsidR="00DF78C8">
      <w:rPr>
        <w:rFonts w:ascii="Georgia" w:hAnsi="Georgia"/>
        <w:color w:val="808080" w:themeColor="background1" w:themeShade="80"/>
        <w:sz w:val="18"/>
        <w:szCs w:val="18"/>
      </w:rPr>
      <w:t xml:space="preserve"> </w:t>
    </w:r>
    <w:r w:rsidR="007F758D">
      <w:rPr>
        <w:rFonts w:ascii="Georgia" w:hAnsi="Georgia"/>
        <w:color w:val="808080" w:themeColor="background1" w:themeShade="80"/>
        <w:sz w:val="18"/>
        <w:szCs w:val="18"/>
      </w:rPr>
      <w:t>Constituency</w:t>
    </w:r>
    <w:r w:rsidR="00243C53">
      <w:rPr>
        <w:rFonts w:ascii="Georgia" w:hAnsi="Georgia"/>
        <w:color w:val="808080" w:themeColor="background1" w:themeShade="80"/>
        <w:sz w:val="18"/>
        <w:szCs w:val="18"/>
      </w:rPr>
      <w:t xml:space="preserve"> (2020-06-11)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A7511"/>
    <w:multiLevelType w:val="hybridMultilevel"/>
    <w:tmpl w:val="3AFC3E60"/>
    <w:lvl w:ilvl="0" w:tplc="EACE87B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606277F"/>
    <w:multiLevelType w:val="hybridMultilevel"/>
    <w:tmpl w:val="DE5617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3620B3"/>
    <w:multiLevelType w:val="hybridMultilevel"/>
    <w:tmpl w:val="7818A13C"/>
    <w:lvl w:ilvl="0" w:tplc="0B8E952E">
      <w:start w:val="5"/>
      <w:numFmt w:val="bullet"/>
      <w:lvlText w:val=""/>
      <w:lvlJc w:val="left"/>
      <w:pPr>
        <w:ind w:left="1800" w:hanging="360"/>
      </w:pPr>
      <w:rPr>
        <w:rFonts w:ascii="Wingdings" w:eastAsia="Times New Roman" w:hAnsi="Wingdings"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6AFC25B1"/>
    <w:multiLevelType w:val="hybridMultilevel"/>
    <w:tmpl w:val="58866C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521E9D"/>
    <w:multiLevelType w:val="hybridMultilevel"/>
    <w:tmpl w:val="619E52EE"/>
    <w:lvl w:ilvl="0" w:tplc="EACE87B4">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2211C"/>
    <w:rsid w:val="000A6D0F"/>
    <w:rsid w:val="000D3C92"/>
    <w:rsid w:val="000D79B8"/>
    <w:rsid w:val="00103529"/>
    <w:rsid w:val="0011697F"/>
    <w:rsid w:val="00133CDB"/>
    <w:rsid w:val="00183331"/>
    <w:rsid w:val="00195457"/>
    <w:rsid w:val="00195816"/>
    <w:rsid w:val="001D044E"/>
    <w:rsid w:val="001E4032"/>
    <w:rsid w:val="00243C53"/>
    <w:rsid w:val="002570E2"/>
    <w:rsid w:val="00262AFA"/>
    <w:rsid w:val="002D5AE4"/>
    <w:rsid w:val="002F5398"/>
    <w:rsid w:val="00324417"/>
    <w:rsid w:val="003640E5"/>
    <w:rsid w:val="00380F4A"/>
    <w:rsid w:val="003A0DCB"/>
    <w:rsid w:val="003B33CA"/>
    <w:rsid w:val="003C124C"/>
    <w:rsid w:val="003F4A4D"/>
    <w:rsid w:val="004007EE"/>
    <w:rsid w:val="00405581"/>
    <w:rsid w:val="00407A7A"/>
    <w:rsid w:val="00411E3A"/>
    <w:rsid w:val="004205EB"/>
    <w:rsid w:val="004331D4"/>
    <w:rsid w:val="0048049E"/>
    <w:rsid w:val="0048080B"/>
    <w:rsid w:val="00482B03"/>
    <w:rsid w:val="0049221D"/>
    <w:rsid w:val="004A2506"/>
    <w:rsid w:val="004A66C3"/>
    <w:rsid w:val="004B6932"/>
    <w:rsid w:val="004C0D7C"/>
    <w:rsid w:val="004F35FE"/>
    <w:rsid w:val="0050563B"/>
    <w:rsid w:val="0051787B"/>
    <w:rsid w:val="00535C7A"/>
    <w:rsid w:val="00567BCF"/>
    <w:rsid w:val="005727BA"/>
    <w:rsid w:val="00577229"/>
    <w:rsid w:val="005A45D4"/>
    <w:rsid w:val="006853E9"/>
    <w:rsid w:val="00692550"/>
    <w:rsid w:val="00696CA7"/>
    <w:rsid w:val="006D3672"/>
    <w:rsid w:val="006F146A"/>
    <w:rsid w:val="00700F53"/>
    <w:rsid w:val="00705BCD"/>
    <w:rsid w:val="00746DD5"/>
    <w:rsid w:val="00771D14"/>
    <w:rsid w:val="007861D9"/>
    <w:rsid w:val="0078664B"/>
    <w:rsid w:val="00792A59"/>
    <w:rsid w:val="007F758D"/>
    <w:rsid w:val="00816B49"/>
    <w:rsid w:val="00842A2F"/>
    <w:rsid w:val="00850255"/>
    <w:rsid w:val="008561DC"/>
    <w:rsid w:val="008A45DF"/>
    <w:rsid w:val="008B3B88"/>
    <w:rsid w:val="008B78C2"/>
    <w:rsid w:val="008D7FDE"/>
    <w:rsid w:val="009148DD"/>
    <w:rsid w:val="00923B78"/>
    <w:rsid w:val="0093155F"/>
    <w:rsid w:val="009479B9"/>
    <w:rsid w:val="00963EE6"/>
    <w:rsid w:val="009C34B4"/>
    <w:rsid w:val="009E3DA6"/>
    <w:rsid w:val="00A0018E"/>
    <w:rsid w:val="00A37FDB"/>
    <w:rsid w:val="00A63C01"/>
    <w:rsid w:val="00A72074"/>
    <w:rsid w:val="00AB1A53"/>
    <w:rsid w:val="00AB4063"/>
    <w:rsid w:val="00AE49BC"/>
    <w:rsid w:val="00AF752E"/>
    <w:rsid w:val="00B2410D"/>
    <w:rsid w:val="00B2427B"/>
    <w:rsid w:val="00B73FDE"/>
    <w:rsid w:val="00B85D91"/>
    <w:rsid w:val="00B965C7"/>
    <w:rsid w:val="00BB384B"/>
    <w:rsid w:val="00BC5DAF"/>
    <w:rsid w:val="00C42785"/>
    <w:rsid w:val="00C8481B"/>
    <w:rsid w:val="00CA4088"/>
    <w:rsid w:val="00CD0E61"/>
    <w:rsid w:val="00CF140E"/>
    <w:rsid w:val="00D1728D"/>
    <w:rsid w:val="00D249BD"/>
    <w:rsid w:val="00D503B1"/>
    <w:rsid w:val="00DA5DD1"/>
    <w:rsid w:val="00DB04F5"/>
    <w:rsid w:val="00DB7395"/>
    <w:rsid w:val="00DC630A"/>
    <w:rsid w:val="00DF78C8"/>
    <w:rsid w:val="00E27E32"/>
    <w:rsid w:val="00E443B3"/>
    <w:rsid w:val="00E51F7E"/>
    <w:rsid w:val="00E533AC"/>
    <w:rsid w:val="00E64A65"/>
    <w:rsid w:val="00E8582C"/>
    <w:rsid w:val="00E974A5"/>
    <w:rsid w:val="00EA0AD1"/>
    <w:rsid w:val="00EE211D"/>
    <w:rsid w:val="00EE7891"/>
    <w:rsid w:val="00EF6EB2"/>
    <w:rsid w:val="00F411B2"/>
    <w:rsid w:val="00F7164D"/>
    <w:rsid w:val="00FD1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D8107D"/>
  <w15:docId w15:val="{C6AEB449-E0DD-4A9D-B443-1671927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82C"/>
    <w:pPr>
      <w:spacing w:after="120" w:line="276" w:lineRule="auto"/>
      <w:outlineLvl w:val="0"/>
    </w:pPr>
    <w:rPr>
      <w:rFonts w:ascii="Arial" w:hAnsi="Arial" w:cs="Arial"/>
      <w:sz w:val="28"/>
      <w:szCs w:val="28"/>
    </w:rPr>
  </w:style>
  <w:style w:type="paragraph" w:styleId="Heading2">
    <w:name w:val="heading 2"/>
    <w:basedOn w:val="Normal"/>
    <w:next w:val="Normal"/>
    <w:link w:val="Heading2Char"/>
    <w:qFormat/>
    <w:rsid w:val="00E8582C"/>
    <w:pPr>
      <w:spacing w:after="120" w:line="276" w:lineRule="auto"/>
      <w:outlineLvl w:val="1"/>
    </w:pPr>
    <w:rPr>
      <w:rFonts w:ascii="Arial" w:hAnsi="Arial" w:cs="Arial"/>
      <w:b/>
      <w:szCs w:val="28"/>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E8582C"/>
    <w:rPr>
      <w:rFonts w:ascii="Arial" w:eastAsia="Times New Roman" w:hAnsi="Arial" w:cs="Arial"/>
      <w:sz w:val="28"/>
      <w:szCs w:val="28"/>
      <w:lang w:val="en-US"/>
    </w:rPr>
  </w:style>
  <w:style w:type="character" w:customStyle="1" w:styleId="Heading2Char">
    <w:name w:val="Heading 2 Char"/>
    <w:basedOn w:val="DefaultParagraphFont"/>
    <w:link w:val="Heading2"/>
    <w:rsid w:val="00E8582C"/>
    <w:rPr>
      <w:rFonts w:ascii="Arial" w:eastAsia="Times New Roman" w:hAnsi="Arial" w:cs="Arial"/>
      <w:b/>
      <w:sz w:val="24"/>
      <w:szCs w:val="28"/>
      <w:lang w:val="en-US"/>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Normal"/>
    <w:link w:val="StandardtextZchn"/>
    <w:qFormat/>
    <w:rsid w:val="00E8582C"/>
    <w:pPr>
      <w:spacing w:after="200" w:line="276" w:lineRule="auto"/>
    </w:pPr>
    <w:rPr>
      <w:rFonts w:ascii="Georgia" w:hAnsi="Georgia"/>
      <w:sz w:val="20"/>
      <w:szCs w:val="22"/>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E8582C"/>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customStyle="1" w:styleId="UnresolvedMention1">
    <w:name w:val="Unresolved Mention1"/>
    <w:basedOn w:val="DefaultParagraphFont"/>
    <w:uiPriority w:val="99"/>
    <w:semiHidden/>
    <w:unhideWhenUsed/>
    <w:rsid w:val="00E8582C"/>
    <w:rPr>
      <w:color w:val="605E5C"/>
      <w:shd w:val="clear" w:color="auto" w:fill="E1DFDD"/>
    </w:rPr>
  </w:style>
  <w:style w:type="paragraph" w:styleId="NormalWeb">
    <w:name w:val="Normal (Web)"/>
    <w:basedOn w:val="Normal"/>
    <w:uiPriority w:val="99"/>
    <w:semiHidden/>
    <w:unhideWhenUsed/>
    <w:rsid w:val="00B85D91"/>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92550"/>
    <w:rPr>
      <w:color w:val="605E5C"/>
      <w:shd w:val="clear" w:color="auto" w:fill="E1DFDD"/>
    </w:rPr>
  </w:style>
  <w:style w:type="paragraph" w:customStyle="1" w:styleId="Untertitel1">
    <w:name w:val="Untertitel1"/>
    <w:basedOn w:val="Normal"/>
    <w:qFormat/>
    <w:rsid w:val="00D249BD"/>
    <w:pPr>
      <w:spacing w:after="120" w:line="276" w:lineRule="auto"/>
    </w:pPr>
    <w:rPr>
      <w:rFonts w:ascii="Arial" w:hAnsi="Arial" w:cs="Arial"/>
      <w:b/>
      <w:sz w:val="22"/>
      <w:szCs w:val="28"/>
      <w:lang w:val="en-GB"/>
    </w:rPr>
  </w:style>
  <w:style w:type="character" w:customStyle="1" w:styleId="Header1centredZchn">
    <w:name w:val="Header 1 centred Zchn"/>
    <w:basedOn w:val="DefaultParagraphFont"/>
    <w:link w:val="Header1centred"/>
    <w:locked/>
    <w:rsid w:val="00D249BD"/>
    <w:rPr>
      <w:rFonts w:ascii="Arial" w:hAnsi="Arial" w:cs="Arial"/>
      <w:sz w:val="28"/>
      <w:szCs w:val="28"/>
    </w:rPr>
  </w:style>
  <w:style w:type="paragraph" w:customStyle="1" w:styleId="Header1centred">
    <w:name w:val="Header 1 centred"/>
    <w:basedOn w:val="Normal"/>
    <w:link w:val="Header1centredZchn"/>
    <w:qFormat/>
    <w:rsid w:val="00D249BD"/>
    <w:pPr>
      <w:spacing w:after="120" w:line="276" w:lineRule="auto"/>
      <w:jc w:val="center"/>
    </w:pPr>
    <w:rPr>
      <w:rFonts w:ascii="Arial" w:eastAsiaTheme="minorHAnsi" w:hAnsi="Arial" w:cs="Arial"/>
      <w:sz w:val="28"/>
      <w:szCs w:val="28"/>
      <w:lang w:val="en-GB"/>
    </w:rPr>
  </w:style>
  <w:style w:type="character" w:customStyle="1" w:styleId="bodytextZchn">
    <w:name w:val="body text Zchn"/>
    <w:basedOn w:val="DefaultParagraphFont"/>
    <w:link w:val="Textkrper1"/>
    <w:locked/>
    <w:rsid w:val="00D249BD"/>
  </w:style>
  <w:style w:type="paragraph" w:customStyle="1" w:styleId="Textkrper1">
    <w:name w:val="Textkörper1"/>
    <w:basedOn w:val="Normal"/>
    <w:link w:val="bodytextZchn"/>
    <w:qFormat/>
    <w:rsid w:val="00D249BD"/>
    <w:pPr>
      <w:spacing w:before="120" w:line="276" w:lineRule="auto"/>
    </w:pPr>
    <w:rPr>
      <w:rFonts w:asciiTheme="minorHAnsi" w:eastAsiaTheme="minorHAnsi" w:hAnsiTheme="minorHAnsi" w:cstheme="minorBidi"/>
      <w:sz w:val="22"/>
      <w:szCs w:val="22"/>
      <w:lang w:val="en-GB"/>
    </w:rPr>
  </w:style>
  <w:style w:type="paragraph" w:styleId="EndnoteText">
    <w:name w:val="endnote text"/>
    <w:basedOn w:val="Normal"/>
    <w:link w:val="EndnoteTextChar"/>
    <w:uiPriority w:val="99"/>
    <w:semiHidden/>
    <w:unhideWhenUsed/>
    <w:rsid w:val="00482B03"/>
    <w:rPr>
      <w:sz w:val="20"/>
      <w:szCs w:val="20"/>
    </w:rPr>
  </w:style>
  <w:style w:type="character" w:customStyle="1" w:styleId="EndnoteTextChar">
    <w:name w:val="Endnote Text Char"/>
    <w:basedOn w:val="DefaultParagraphFont"/>
    <w:link w:val="EndnoteText"/>
    <w:uiPriority w:val="99"/>
    <w:semiHidden/>
    <w:rsid w:val="00482B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482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32343">
      <w:bodyDiv w:val="1"/>
      <w:marLeft w:val="0"/>
      <w:marRight w:val="0"/>
      <w:marTop w:val="0"/>
      <w:marBottom w:val="0"/>
      <w:divBdr>
        <w:top w:val="none" w:sz="0" w:space="0" w:color="auto"/>
        <w:left w:val="none" w:sz="0" w:space="0" w:color="auto"/>
        <w:bottom w:val="none" w:sz="0" w:space="0" w:color="auto"/>
        <w:right w:val="none" w:sz="0" w:space="0" w:color="auto"/>
      </w:divBdr>
    </w:div>
    <w:div w:id="386104982">
      <w:bodyDiv w:val="1"/>
      <w:marLeft w:val="0"/>
      <w:marRight w:val="0"/>
      <w:marTop w:val="0"/>
      <w:marBottom w:val="0"/>
      <w:divBdr>
        <w:top w:val="none" w:sz="0" w:space="0" w:color="auto"/>
        <w:left w:val="none" w:sz="0" w:space="0" w:color="auto"/>
        <w:bottom w:val="none" w:sz="0" w:space="0" w:color="auto"/>
        <w:right w:val="none" w:sz="0" w:space="0" w:color="auto"/>
      </w:divBdr>
    </w:div>
    <w:div w:id="892233880">
      <w:bodyDiv w:val="1"/>
      <w:marLeft w:val="0"/>
      <w:marRight w:val="0"/>
      <w:marTop w:val="0"/>
      <w:marBottom w:val="0"/>
      <w:divBdr>
        <w:top w:val="none" w:sz="0" w:space="0" w:color="auto"/>
        <w:left w:val="none" w:sz="0" w:space="0" w:color="auto"/>
        <w:bottom w:val="none" w:sz="0" w:space="0" w:color="auto"/>
        <w:right w:val="none" w:sz="0" w:space="0" w:color="auto"/>
      </w:divBdr>
    </w:div>
    <w:div w:id="1264148561">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ddensea-worldheritage.org/sites/default/files/2019_Swimway%20conference%20report.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8B58-1291-4430-B071-2CE6454B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1869</Words>
  <Characters>10654</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cp:revision>
  <dcterms:created xsi:type="dcterms:W3CDTF">2020-06-11T13:48:00Z</dcterms:created>
  <dcterms:modified xsi:type="dcterms:W3CDTF">2020-06-11T14:06:00Z</dcterms:modified>
</cp:coreProperties>
</file>