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11" w:rsidRDefault="00E7261B" w:rsidP="003D6D11">
      <w:pPr>
        <w:spacing w:line="360" w:lineRule="auto"/>
        <w:rPr>
          <w:rFonts w:ascii="Arial" w:hAnsi="Arial" w:cs="Arial"/>
          <w:sz w:val="20"/>
          <w:szCs w:val="20"/>
          <w:lang w:val="en-GB"/>
        </w:rPr>
      </w:pPr>
      <w:bookmarkStart w:id="0" w:name="_GoBack"/>
      <w:bookmarkEnd w:id="0"/>
      <w:r>
        <w:rPr>
          <w:rFonts w:ascii="Arial" w:hAnsi="Arial" w:cs="Arial"/>
          <w:noProof/>
          <w:sz w:val="20"/>
          <w:szCs w:val="20"/>
          <w:lang w:val="de-DE" w:eastAsia="de-DE"/>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59055</wp:posOffset>
                </wp:positionV>
                <wp:extent cx="2286000" cy="142684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6AB" w:rsidRDefault="00FA36AB" w:rsidP="003D6D11">
                            <w:pPr>
                              <w:jc w:val="center"/>
                              <w:rPr>
                                <w:rFonts w:ascii="Arial" w:hAnsi="Arial" w:cs="Arial"/>
                                <w:b/>
                                <w:bCs/>
                                <w:lang w:val="en-GB"/>
                              </w:rPr>
                            </w:pPr>
                          </w:p>
                          <w:p w:rsidR="00FA36AB" w:rsidRDefault="00FA36AB" w:rsidP="003D6D11">
                            <w:pPr>
                              <w:jc w:val="center"/>
                              <w:rPr>
                                <w:rFonts w:ascii="Arial" w:hAnsi="Arial" w:cs="Arial"/>
                                <w:b/>
                                <w:bCs/>
                                <w:sz w:val="32"/>
                                <w:szCs w:val="32"/>
                                <w:lang w:val="en-GB"/>
                              </w:rPr>
                            </w:pPr>
                            <w:smartTag w:uri="urn:schemas-microsoft-com:office:smarttags" w:element="place">
                              <w:smartTag w:uri="urn:schemas-microsoft-com:office:smarttags" w:element="City">
                                <w:r>
                                  <w:rPr>
                                    <w:rFonts w:ascii="Arial" w:hAnsi="Arial" w:cs="Arial"/>
                                    <w:b/>
                                    <w:bCs/>
                                    <w:sz w:val="32"/>
                                    <w:szCs w:val="32"/>
                                    <w:lang w:val="en-GB"/>
                                  </w:rPr>
                                  <w:t>Wadden</w:t>
                                </w:r>
                              </w:smartTag>
                              <w:r>
                                <w:rPr>
                                  <w:rFonts w:ascii="Arial" w:hAnsi="Arial" w:cs="Arial"/>
                                  <w:b/>
                                  <w:bCs/>
                                  <w:sz w:val="32"/>
                                  <w:szCs w:val="32"/>
                                  <w:lang w:val="en-GB"/>
                                </w:rPr>
                                <w:t xml:space="preserve"> </w:t>
                              </w:r>
                              <w:smartTag w:uri="urn:schemas-microsoft-com:office:smarttags" w:element="PlaceType">
                                <w:r>
                                  <w:rPr>
                                    <w:rFonts w:ascii="Arial" w:hAnsi="Arial" w:cs="Arial"/>
                                    <w:b/>
                                    <w:bCs/>
                                    <w:sz w:val="32"/>
                                    <w:szCs w:val="32"/>
                                    <w:lang w:val="en-GB"/>
                                  </w:rPr>
                                  <w:t>Sea</w:t>
                                </w:r>
                              </w:smartTag>
                            </w:smartTag>
                            <w:r>
                              <w:rPr>
                                <w:rFonts w:ascii="Arial" w:hAnsi="Arial" w:cs="Arial"/>
                                <w:b/>
                                <w:bCs/>
                                <w:sz w:val="32"/>
                                <w:szCs w:val="32"/>
                                <w:lang w:val="en-GB"/>
                              </w:rPr>
                              <w:t xml:space="preserve"> Board</w:t>
                            </w:r>
                          </w:p>
                          <w:p w:rsidR="00FA36AB" w:rsidRDefault="00FA36AB" w:rsidP="003D6D11">
                            <w:pPr>
                              <w:jc w:val="center"/>
                              <w:rPr>
                                <w:rFonts w:ascii="Arial" w:hAnsi="Arial" w:cs="Arial"/>
                                <w:b/>
                                <w:bCs/>
                                <w:lang w:val="en-GB"/>
                              </w:rPr>
                            </w:pPr>
                          </w:p>
                          <w:p w:rsidR="00F77F84" w:rsidRDefault="00FA36AB" w:rsidP="00754D75">
                            <w:pPr>
                              <w:jc w:val="center"/>
                              <w:rPr>
                                <w:rFonts w:ascii="Arial" w:hAnsi="Arial" w:cs="Arial"/>
                                <w:b/>
                                <w:bCs/>
                                <w:lang w:val="en-GB"/>
                              </w:rPr>
                            </w:pPr>
                            <w:r>
                              <w:rPr>
                                <w:rFonts w:ascii="Arial" w:hAnsi="Arial" w:cs="Arial"/>
                                <w:b/>
                                <w:bCs/>
                                <w:lang w:val="en-GB"/>
                              </w:rPr>
                              <w:t xml:space="preserve">WSB </w:t>
                            </w:r>
                            <w:r w:rsidR="00D37A59">
                              <w:rPr>
                                <w:rFonts w:ascii="Arial" w:hAnsi="Arial" w:cs="Arial"/>
                                <w:b/>
                                <w:bCs/>
                                <w:lang w:val="en-GB"/>
                              </w:rPr>
                              <w:t>20</w:t>
                            </w:r>
                            <w:r w:rsidR="002D7DF5">
                              <w:rPr>
                                <w:rFonts w:ascii="Arial" w:hAnsi="Arial" w:cs="Arial"/>
                                <w:b/>
                                <w:bCs/>
                                <w:lang w:val="en-GB"/>
                              </w:rPr>
                              <w:t xml:space="preserve"> </w:t>
                            </w:r>
                          </w:p>
                          <w:p w:rsidR="00FA36AB" w:rsidRDefault="00A80F47" w:rsidP="00A80F47">
                            <w:pPr>
                              <w:jc w:val="center"/>
                              <w:rPr>
                                <w:rFonts w:ascii="Arial" w:hAnsi="Arial" w:cs="Arial"/>
                                <w:b/>
                                <w:bCs/>
                                <w:lang w:val="en-GB"/>
                              </w:rPr>
                            </w:pPr>
                            <w:r>
                              <w:rPr>
                                <w:rFonts w:ascii="Arial" w:hAnsi="Arial" w:cs="Arial"/>
                                <w:b/>
                                <w:bCs/>
                                <w:lang w:val="en-GB"/>
                              </w:rPr>
                              <w:t>16</w:t>
                            </w:r>
                            <w:r w:rsidR="00D37A59">
                              <w:rPr>
                                <w:rFonts w:ascii="Arial" w:hAnsi="Arial" w:cs="Arial"/>
                                <w:b/>
                                <w:bCs/>
                                <w:lang w:val="en-GB"/>
                              </w:rPr>
                              <w:t xml:space="preserve"> June 2017</w:t>
                            </w:r>
                          </w:p>
                          <w:p w:rsidR="00FA36AB" w:rsidRPr="002160AA" w:rsidRDefault="00CB0F49" w:rsidP="00754D75">
                            <w:pPr>
                              <w:jc w:val="center"/>
                              <w:rPr>
                                <w:rFonts w:ascii="Arial" w:hAnsi="Arial" w:cs="Arial"/>
                                <w:b/>
                                <w:bCs/>
                                <w:lang w:val="en-GB"/>
                              </w:rPr>
                            </w:pPr>
                            <w:r>
                              <w:rPr>
                                <w:rFonts w:ascii="Arial" w:hAnsi="Arial" w:cs="Arial"/>
                                <w:b/>
                                <w:bCs/>
                                <w:lang w:val="en-GB"/>
                              </w:rPr>
                              <w:t>Harlingen, Netherlands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4.65pt;width:180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p4hgIAABAFAAAOAAAAZHJzL2Uyb0RvYy54bWysVNuO2yAQfa/Uf0C8Z32Rk42tOKu9NFWl&#10;7UXa7QcQwDEqBgok9rbaf++Ak6y3famq+gEDMxzOzJxhdTV0Eh24dUKrGmcXKUZcUc2E2tX46+Nm&#10;tsTIeaIYkVrxGj9xh6/Wb9+selPxXLdaMm4RgChX9abGrfemShJHW94Rd6ENV2BstO2Ih6XdJcyS&#10;HtA7meRpukh6bZmxmnLnYPduNOJ1xG8aTv3npnHcI1lj4ObjaOO4DWOyXpFqZ4lpBT3SIP/AoiNC&#10;waVnqDviCdpb8QdUJ6jVTjf+guou0U0jKI8xQDRZ+ls0Dy0xPMYCyXHmnCb3/2Dpp8MXiwSD2mGk&#10;SAcleuSDRzd6QHnITm9cBU4PBtz8ANvBM0TqzL2m3xxS+rYlasevrdV9ywkDdlk4mUyOjjgugGz7&#10;j5rBNWTvdQQaGtsFQEgGAnSo0tO5MoEKhc08Xy7SFEwUbFmRL5bFPN5BqtNxY51/z3WHwqTGFkof&#10;4cnh3vlAh1Qnl0hfS8E2Qsq4sLvtrbToQEAmm/gd0d3UTargrHQ4NiKOO8AS7gi2wDeW/WeZ5UV6&#10;k5ezzWJ5OSs2xXxWXqbLWZqVN+UiLcribvMcCGZF1QrGuLoXip8kmBV/V+JjM4ziiSJEfY3LeT4f&#10;azRl76ZBQjJDPscoXgXZCQ8dKUVX4+XZiVShsu8UgwOk8kTIcZ68ph+zDDk4/WNWog5C6UcR+GE7&#10;AEoQx1azJ1CE1VAvqC08IzBptf2BUQ8tWWP3fU8sx0h+UKCqMiuK0MNxUcwvc1jYqWU7tRBFAarG&#10;HqNxeuvHvt8bK3Yt3DTqWOlrUGIjokZeWB31C20Xgzk+EaGvp+vo9fKQrX8BAAD//wMAUEsDBBQA&#10;BgAIAAAAIQAFM/dn3QAAAAkBAAAPAAAAZHJzL2Rvd25yZXYueG1sTI/RTsJAEEXfTfyHzZj4YmQr&#10;UKC1W6ImGl9BPmDaDm1jd7bpLrT8vcOTPJ7cyZ1zs+1kO3WmwbeODbzMIlDEpatarg0cfj6fN6B8&#10;QK6wc0wGLuRhm9/fZZhWbuQdnfehVlLCPkUDTQh9qrUvG7LoZ64nluzoBotBcKh1NeAo5bbT8yha&#10;aYsty4cGe/poqPzdn6yB4/f4FCdj8RUO691y9Y7tunAXYx4fprdXUIGm8H8MV31Rh1ycCnfiyqtO&#10;ONnIlmAgWYCSPI6vXBiYL5YR6DzTtwvyPwAAAP//AwBQSwECLQAUAAYACAAAACEAtoM4kv4AAADh&#10;AQAAEwAAAAAAAAAAAAAAAAAAAAAAW0NvbnRlbnRfVHlwZXNdLnhtbFBLAQItABQABgAIAAAAIQA4&#10;/SH/1gAAAJQBAAALAAAAAAAAAAAAAAAAAC8BAABfcmVscy8ucmVsc1BLAQItABQABgAIAAAAIQCw&#10;2yp4hgIAABAFAAAOAAAAAAAAAAAAAAAAAC4CAABkcnMvZTJvRG9jLnhtbFBLAQItABQABgAIAAAA&#10;IQAFM/dn3QAAAAkBAAAPAAAAAAAAAAAAAAAAAOAEAABkcnMvZG93bnJldi54bWxQSwUGAAAAAAQA&#10;BADzAAAA6gUAAAAA&#10;" stroked="f">
                <v:textbox>
                  <w:txbxContent>
                    <w:p w:rsidR="00FA36AB" w:rsidRDefault="00FA36AB" w:rsidP="003D6D11">
                      <w:pPr>
                        <w:jc w:val="center"/>
                        <w:rPr>
                          <w:rFonts w:ascii="Arial" w:hAnsi="Arial" w:cs="Arial"/>
                          <w:b/>
                          <w:bCs/>
                          <w:lang w:val="en-GB"/>
                        </w:rPr>
                      </w:pPr>
                    </w:p>
                    <w:p w:rsidR="00FA36AB" w:rsidRDefault="00FA36AB" w:rsidP="003D6D11">
                      <w:pPr>
                        <w:jc w:val="center"/>
                        <w:rPr>
                          <w:rFonts w:ascii="Arial" w:hAnsi="Arial" w:cs="Arial"/>
                          <w:b/>
                          <w:bCs/>
                          <w:sz w:val="32"/>
                          <w:szCs w:val="32"/>
                          <w:lang w:val="en-GB"/>
                        </w:rPr>
                      </w:pPr>
                      <w:smartTag w:uri="urn:schemas-microsoft-com:office:smarttags" w:element="place">
                        <w:smartTag w:uri="urn:schemas-microsoft-com:office:smarttags" w:element="City">
                          <w:r>
                            <w:rPr>
                              <w:rFonts w:ascii="Arial" w:hAnsi="Arial" w:cs="Arial"/>
                              <w:b/>
                              <w:bCs/>
                              <w:sz w:val="32"/>
                              <w:szCs w:val="32"/>
                              <w:lang w:val="en-GB"/>
                            </w:rPr>
                            <w:t>Wadden</w:t>
                          </w:r>
                        </w:smartTag>
                        <w:r>
                          <w:rPr>
                            <w:rFonts w:ascii="Arial" w:hAnsi="Arial" w:cs="Arial"/>
                            <w:b/>
                            <w:bCs/>
                            <w:sz w:val="32"/>
                            <w:szCs w:val="32"/>
                            <w:lang w:val="en-GB"/>
                          </w:rPr>
                          <w:t xml:space="preserve"> </w:t>
                        </w:r>
                        <w:smartTag w:uri="urn:schemas-microsoft-com:office:smarttags" w:element="PlaceType">
                          <w:r>
                            <w:rPr>
                              <w:rFonts w:ascii="Arial" w:hAnsi="Arial" w:cs="Arial"/>
                              <w:b/>
                              <w:bCs/>
                              <w:sz w:val="32"/>
                              <w:szCs w:val="32"/>
                              <w:lang w:val="en-GB"/>
                            </w:rPr>
                            <w:t>Sea</w:t>
                          </w:r>
                        </w:smartTag>
                      </w:smartTag>
                      <w:r>
                        <w:rPr>
                          <w:rFonts w:ascii="Arial" w:hAnsi="Arial" w:cs="Arial"/>
                          <w:b/>
                          <w:bCs/>
                          <w:sz w:val="32"/>
                          <w:szCs w:val="32"/>
                          <w:lang w:val="en-GB"/>
                        </w:rPr>
                        <w:t xml:space="preserve"> Board</w:t>
                      </w:r>
                    </w:p>
                    <w:p w:rsidR="00FA36AB" w:rsidRDefault="00FA36AB" w:rsidP="003D6D11">
                      <w:pPr>
                        <w:jc w:val="center"/>
                        <w:rPr>
                          <w:rFonts w:ascii="Arial" w:hAnsi="Arial" w:cs="Arial"/>
                          <w:b/>
                          <w:bCs/>
                          <w:lang w:val="en-GB"/>
                        </w:rPr>
                      </w:pPr>
                    </w:p>
                    <w:p w:rsidR="00F77F84" w:rsidRDefault="00FA36AB" w:rsidP="00754D75">
                      <w:pPr>
                        <w:jc w:val="center"/>
                        <w:rPr>
                          <w:rFonts w:ascii="Arial" w:hAnsi="Arial" w:cs="Arial"/>
                          <w:b/>
                          <w:bCs/>
                          <w:lang w:val="en-GB"/>
                        </w:rPr>
                      </w:pPr>
                      <w:r>
                        <w:rPr>
                          <w:rFonts w:ascii="Arial" w:hAnsi="Arial" w:cs="Arial"/>
                          <w:b/>
                          <w:bCs/>
                          <w:lang w:val="en-GB"/>
                        </w:rPr>
                        <w:t xml:space="preserve">WSB </w:t>
                      </w:r>
                      <w:r w:rsidR="00D37A59">
                        <w:rPr>
                          <w:rFonts w:ascii="Arial" w:hAnsi="Arial" w:cs="Arial"/>
                          <w:b/>
                          <w:bCs/>
                          <w:lang w:val="en-GB"/>
                        </w:rPr>
                        <w:t>20</w:t>
                      </w:r>
                      <w:r w:rsidR="002D7DF5">
                        <w:rPr>
                          <w:rFonts w:ascii="Arial" w:hAnsi="Arial" w:cs="Arial"/>
                          <w:b/>
                          <w:bCs/>
                          <w:lang w:val="en-GB"/>
                        </w:rPr>
                        <w:t xml:space="preserve"> </w:t>
                      </w:r>
                    </w:p>
                    <w:p w:rsidR="00FA36AB" w:rsidRDefault="00A80F47" w:rsidP="00A80F47">
                      <w:pPr>
                        <w:jc w:val="center"/>
                        <w:rPr>
                          <w:rFonts w:ascii="Arial" w:hAnsi="Arial" w:cs="Arial"/>
                          <w:b/>
                          <w:bCs/>
                          <w:lang w:val="en-GB"/>
                        </w:rPr>
                      </w:pPr>
                      <w:r>
                        <w:rPr>
                          <w:rFonts w:ascii="Arial" w:hAnsi="Arial" w:cs="Arial"/>
                          <w:b/>
                          <w:bCs/>
                          <w:lang w:val="en-GB"/>
                        </w:rPr>
                        <w:t>16</w:t>
                      </w:r>
                      <w:r w:rsidR="00D37A59">
                        <w:rPr>
                          <w:rFonts w:ascii="Arial" w:hAnsi="Arial" w:cs="Arial"/>
                          <w:b/>
                          <w:bCs/>
                          <w:lang w:val="en-GB"/>
                        </w:rPr>
                        <w:t xml:space="preserve"> June 2017</w:t>
                      </w:r>
                    </w:p>
                    <w:p w:rsidR="00FA36AB" w:rsidRPr="002160AA" w:rsidRDefault="00CB0F49" w:rsidP="00754D75">
                      <w:pPr>
                        <w:jc w:val="center"/>
                        <w:rPr>
                          <w:rFonts w:ascii="Arial" w:hAnsi="Arial" w:cs="Arial"/>
                          <w:b/>
                          <w:bCs/>
                          <w:lang w:val="en-GB"/>
                        </w:rPr>
                      </w:pPr>
                      <w:r>
                        <w:rPr>
                          <w:rFonts w:ascii="Arial" w:hAnsi="Arial" w:cs="Arial"/>
                          <w:b/>
                          <w:bCs/>
                          <w:lang w:val="en-GB"/>
                        </w:rPr>
                        <w:t>Harlingen, Netherlands</w:t>
                      </w:r>
                    </w:p>
                  </w:txbxContent>
                </v:textbox>
              </v:shape>
            </w:pict>
          </mc:Fallback>
        </mc:AlternateContent>
      </w:r>
      <w:r w:rsidR="00C62F33">
        <w:rPr>
          <w:rFonts w:ascii="Arial" w:hAnsi="Arial" w:cs="Arial"/>
          <w:noProof/>
          <w:sz w:val="20"/>
          <w:szCs w:val="20"/>
          <w:lang w:val="de-DE" w:eastAsia="de-DE"/>
        </w:rPr>
        <w:drawing>
          <wp:anchor distT="0" distB="0" distL="114300" distR="114300" simplePos="0" relativeHeight="251660288" behindDoc="1" locked="0" layoutInCell="1" allowOverlap="1">
            <wp:simplePos x="0" y="0"/>
            <wp:positionH relativeFrom="column">
              <wp:posOffset>4446270</wp:posOffset>
            </wp:positionH>
            <wp:positionV relativeFrom="paragraph">
              <wp:posOffset>0</wp:posOffset>
            </wp:positionV>
            <wp:extent cx="892800" cy="1054800"/>
            <wp:effectExtent l="0" t="0" r="0" b="0"/>
            <wp:wrapTight wrapText="bothSides">
              <wp:wrapPolygon edited="0">
                <wp:start x="0" y="0"/>
                <wp:lineTo x="0" y="21067"/>
                <wp:lineTo x="21216" y="21067"/>
                <wp:lineTo x="2121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800" cy="1054800"/>
                    </a:xfrm>
                    <a:prstGeom prst="rect">
                      <a:avLst/>
                    </a:prstGeom>
                  </pic:spPr>
                </pic:pic>
              </a:graphicData>
            </a:graphic>
            <wp14:sizeRelH relativeFrom="page">
              <wp14:pctWidth>0</wp14:pctWidth>
            </wp14:sizeRelH>
            <wp14:sizeRelV relativeFrom="page">
              <wp14:pctHeight>0</wp14:pctHeight>
            </wp14:sizeRelV>
          </wp:anchor>
        </w:drawing>
      </w:r>
    </w:p>
    <w:p w:rsidR="003D6D11" w:rsidRDefault="003D6D11" w:rsidP="003D6D11">
      <w:pPr>
        <w:jc w:val="center"/>
        <w:rPr>
          <w:rFonts w:cs="Arial"/>
          <w:b/>
          <w:bCs/>
          <w:sz w:val="20"/>
          <w:szCs w:val="20"/>
          <w:lang w:val="en-GB"/>
        </w:rPr>
      </w:pPr>
      <w:r>
        <w:rPr>
          <w:rFonts w:cs="Arial"/>
          <w:b/>
          <w:bCs/>
          <w:sz w:val="20"/>
          <w:szCs w:val="20"/>
          <w:lang w:val="en-GB"/>
        </w:rPr>
        <w:t xml:space="preserve"> </w:t>
      </w:r>
    </w:p>
    <w:p w:rsidR="003D6D11" w:rsidRDefault="003D6D11" w:rsidP="003D6D11">
      <w:pPr>
        <w:rPr>
          <w:sz w:val="20"/>
          <w:szCs w:val="20"/>
          <w:lang w:val="en-GB"/>
        </w:rPr>
      </w:pPr>
    </w:p>
    <w:p w:rsidR="003D6D11" w:rsidRDefault="003D6D11" w:rsidP="003D6D11">
      <w:pPr>
        <w:jc w:val="center"/>
        <w:rPr>
          <w:rFonts w:ascii="Arial" w:hAnsi="Arial" w:cs="Arial"/>
          <w:b/>
          <w:bCs/>
          <w:sz w:val="20"/>
          <w:szCs w:val="20"/>
          <w:lang w:val="en-GB"/>
        </w:rPr>
      </w:pPr>
    </w:p>
    <w:p w:rsidR="003D6D11" w:rsidRDefault="003D6D11" w:rsidP="003D6D11">
      <w:pPr>
        <w:rPr>
          <w:rFonts w:ascii="Arial" w:hAnsi="Arial" w:cs="Arial"/>
          <w:sz w:val="20"/>
          <w:szCs w:val="20"/>
          <w:lang w:val="en-GB"/>
        </w:rPr>
      </w:pPr>
    </w:p>
    <w:p w:rsidR="003D6D11" w:rsidRDefault="003D6D11" w:rsidP="003D6D11">
      <w:pPr>
        <w:jc w:val="center"/>
        <w:rPr>
          <w:rFonts w:ascii="Arial" w:hAnsi="Arial" w:cs="Arial"/>
          <w:sz w:val="20"/>
          <w:szCs w:val="20"/>
          <w:lang w:val="en-GB"/>
        </w:rPr>
      </w:pPr>
    </w:p>
    <w:p w:rsidR="003D6D11" w:rsidRDefault="003D6D11" w:rsidP="003D6D11">
      <w:pPr>
        <w:rPr>
          <w:rFonts w:ascii="Arial" w:hAnsi="Arial" w:cs="Arial"/>
          <w:sz w:val="20"/>
          <w:szCs w:val="20"/>
          <w:lang w:val="en-GB"/>
        </w:rPr>
      </w:pPr>
    </w:p>
    <w:p w:rsidR="003D6D11" w:rsidRDefault="003D6D11" w:rsidP="003D6D11">
      <w:pPr>
        <w:rPr>
          <w:rFonts w:ascii="Arial" w:hAnsi="Arial" w:cs="Arial"/>
          <w:sz w:val="20"/>
          <w:szCs w:val="20"/>
          <w:lang w:val="en-GB"/>
        </w:rPr>
      </w:pPr>
    </w:p>
    <w:p w:rsidR="003D6D11" w:rsidRDefault="003D6D11" w:rsidP="003D6D11">
      <w:pPr>
        <w:rPr>
          <w:rFonts w:ascii="Arial" w:hAnsi="Arial" w:cs="Arial"/>
          <w:sz w:val="20"/>
          <w:szCs w:val="20"/>
          <w:lang w:val="en-GB"/>
        </w:rPr>
      </w:pPr>
    </w:p>
    <w:p w:rsidR="003D6D11" w:rsidRDefault="003D6D11" w:rsidP="003D6D11">
      <w:pPr>
        <w:rPr>
          <w:rFonts w:ascii="Arial" w:hAnsi="Arial" w:cs="Arial"/>
          <w:sz w:val="20"/>
          <w:szCs w:val="20"/>
          <w:lang w:val="en-GB"/>
        </w:rPr>
      </w:pPr>
      <w:r>
        <w:rPr>
          <w:rFonts w:ascii="Arial" w:hAnsi="Arial" w:cs="Arial"/>
          <w:sz w:val="20"/>
          <w:szCs w:val="20"/>
          <w:lang w:val="en-GB"/>
        </w:rPr>
        <w:t>__________________________________________________________________________</w:t>
      </w:r>
    </w:p>
    <w:p w:rsidR="003D6D11" w:rsidRDefault="003D6D11" w:rsidP="003D6D11">
      <w:pPr>
        <w:rPr>
          <w:rFonts w:ascii="Arial" w:hAnsi="Arial" w:cs="Arial"/>
          <w:sz w:val="20"/>
          <w:szCs w:val="20"/>
          <w:lang w:val="en-GB"/>
        </w:rPr>
      </w:pPr>
    </w:p>
    <w:p w:rsidR="003D6D11" w:rsidRDefault="003D6D11" w:rsidP="003D6D11">
      <w:pPr>
        <w:tabs>
          <w:tab w:val="left" w:pos="2160"/>
        </w:tabs>
        <w:rPr>
          <w:rFonts w:ascii="Arial" w:hAnsi="Arial" w:cs="Arial"/>
          <w:b/>
          <w:sz w:val="20"/>
          <w:szCs w:val="20"/>
          <w:lang w:val="en-GB"/>
        </w:rPr>
      </w:pPr>
      <w:r>
        <w:rPr>
          <w:rFonts w:ascii="Arial" w:hAnsi="Arial" w:cs="Arial"/>
          <w:b/>
          <w:sz w:val="20"/>
          <w:szCs w:val="20"/>
          <w:lang w:val="en-GB"/>
        </w:rPr>
        <w:t>Agenda Item:</w:t>
      </w:r>
      <w:r>
        <w:rPr>
          <w:rFonts w:ascii="Arial" w:hAnsi="Arial" w:cs="Arial"/>
          <w:b/>
          <w:sz w:val="20"/>
          <w:szCs w:val="20"/>
          <w:lang w:val="en-GB"/>
        </w:rPr>
        <w:tab/>
      </w:r>
      <w:r w:rsidR="0035006B">
        <w:rPr>
          <w:rFonts w:ascii="Arial" w:hAnsi="Arial" w:cs="Arial"/>
          <w:b/>
          <w:sz w:val="20"/>
          <w:szCs w:val="20"/>
          <w:lang w:val="en-GB"/>
        </w:rPr>
        <w:t>6.1</w:t>
      </w:r>
    </w:p>
    <w:p w:rsidR="007D5514" w:rsidRDefault="007D5514" w:rsidP="003D6D11">
      <w:pPr>
        <w:tabs>
          <w:tab w:val="left" w:pos="2160"/>
        </w:tabs>
        <w:rPr>
          <w:rFonts w:ascii="Arial" w:hAnsi="Arial" w:cs="Arial"/>
          <w:sz w:val="20"/>
          <w:szCs w:val="20"/>
          <w:lang w:val="en-GB"/>
        </w:rPr>
      </w:pPr>
    </w:p>
    <w:p w:rsidR="003D6D11" w:rsidRPr="0035006B" w:rsidRDefault="003D6D11" w:rsidP="007D5514">
      <w:pPr>
        <w:tabs>
          <w:tab w:val="left" w:pos="2160"/>
        </w:tabs>
        <w:rPr>
          <w:rFonts w:ascii="Arial" w:hAnsi="Arial" w:cs="Arial"/>
          <w:sz w:val="20"/>
          <w:szCs w:val="20"/>
          <w:lang w:val="en-GB"/>
        </w:rPr>
      </w:pPr>
      <w:r>
        <w:rPr>
          <w:rFonts w:ascii="Arial" w:hAnsi="Arial" w:cs="Arial"/>
          <w:b/>
          <w:sz w:val="20"/>
          <w:szCs w:val="20"/>
          <w:lang w:val="en-GB"/>
        </w:rPr>
        <w:t>Subject:</w:t>
      </w:r>
      <w:r>
        <w:rPr>
          <w:rFonts w:ascii="Arial" w:hAnsi="Arial" w:cs="Arial"/>
          <w:b/>
          <w:sz w:val="20"/>
          <w:szCs w:val="20"/>
          <w:lang w:val="en-GB"/>
        </w:rPr>
        <w:tab/>
      </w:r>
      <w:r w:rsidR="0035006B" w:rsidRPr="005F18A8">
        <w:rPr>
          <w:rFonts w:ascii="Arial" w:hAnsi="Arial" w:cs="Arial"/>
          <w:b/>
          <w:sz w:val="20"/>
          <w:szCs w:val="20"/>
          <w:lang w:val="en-GB"/>
        </w:rPr>
        <w:t>Outcome of PCDG 4 Meeting (Bremen, Germany, June 12, 2017</w:t>
      </w:r>
      <w:r w:rsidR="005F18A8" w:rsidRPr="005F18A8">
        <w:rPr>
          <w:rFonts w:ascii="Arial" w:hAnsi="Arial" w:cs="Arial"/>
          <w:b/>
          <w:sz w:val="20"/>
          <w:szCs w:val="20"/>
          <w:lang w:val="en-GB"/>
        </w:rPr>
        <w:t>)</w:t>
      </w:r>
    </w:p>
    <w:p w:rsidR="007D5514" w:rsidRDefault="007D5514" w:rsidP="007D5514">
      <w:pPr>
        <w:tabs>
          <w:tab w:val="left" w:pos="2160"/>
        </w:tabs>
        <w:rPr>
          <w:rFonts w:ascii="Arial" w:hAnsi="Arial" w:cs="Arial"/>
          <w:sz w:val="20"/>
          <w:szCs w:val="20"/>
          <w:lang w:val="en-GB"/>
        </w:rPr>
      </w:pPr>
    </w:p>
    <w:p w:rsidR="003D6D11" w:rsidRDefault="003D6D11" w:rsidP="003D6D11">
      <w:pPr>
        <w:tabs>
          <w:tab w:val="left" w:pos="2160"/>
        </w:tabs>
        <w:rPr>
          <w:rFonts w:ascii="Arial" w:hAnsi="Arial" w:cs="Arial"/>
          <w:b/>
          <w:sz w:val="20"/>
          <w:szCs w:val="20"/>
          <w:lang w:val="en-GB"/>
        </w:rPr>
      </w:pPr>
      <w:r>
        <w:rPr>
          <w:rFonts w:ascii="Arial" w:hAnsi="Arial" w:cs="Arial"/>
          <w:b/>
          <w:sz w:val="20"/>
          <w:szCs w:val="20"/>
          <w:lang w:val="en-GB"/>
        </w:rPr>
        <w:t>Document No.</w:t>
      </w:r>
      <w:r>
        <w:rPr>
          <w:rFonts w:ascii="Arial" w:hAnsi="Arial" w:cs="Arial"/>
          <w:b/>
          <w:sz w:val="20"/>
          <w:szCs w:val="20"/>
          <w:lang w:val="en-GB"/>
        </w:rPr>
        <w:tab/>
      </w:r>
      <w:r w:rsidR="0035006B">
        <w:rPr>
          <w:rFonts w:ascii="Arial" w:hAnsi="Arial" w:cs="Arial"/>
          <w:b/>
          <w:sz w:val="20"/>
          <w:szCs w:val="20"/>
          <w:lang w:val="en-GB"/>
        </w:rPr>
        <w:t>WSB 20/6.1/2</w:t>
      </w:r>
    </w:p>
    <w:p w:rsidR="007D5514" w:rsidRDefault="007D5514" w:rsidP="003D6D11">
      <w:pPr>
        <w:tabs>
          <w:tab w:val="left" w:pos="2160"/>
        </w:tabs>
        <w:rPr>
          <w:rFonts w:ascii="Arial" w:hAnsi="Arial" w:cs="Arial"/>
          <w:sz w:val="20"/>
          <w:szCs w:val="20"/>
          <w:lang w:val="en-GB"/>
        </w:rPr>
      </w:pPr>
    </w:p>
    <w:p w:rsidR="007D5514" w:rsidRDefault="003D6D11" w:rsidP="007D5514">
      <w:pPr>
        <w:tabs>
          <w:tab w:val="left" w:pos="2160"/>
        </w:tabs>
        <w:rPr>
          <w:rFonts w:ascii="Arial" w:hAnsi="Arial" w:cs="Arial"/>
          <w:b/>
          <w:sz w:val="20"/>
          <w:szCs w:val="20"/>
          <w:lang w:val="en-GB"/>
        </w:rPr>
      </w:pPr>
      <w:r>
        <w:rPr>
          <w:rFonts w:ascii="Arial" w:hAnsi="Arial" w:cs="Arial"/>
          <w:b/>
          <w:sz w:val="20"/>
          <w:szCs w:val="20"/>
          <w:lang w:val="en-GB"/>
        </w:rPr>
        <w:t>Date:</w:t>
      </w:r>
      <w:r>
        <w:rPr>
          <w:rFonts w:ascii="Arial" w:hAnsi="Arial" w:cs="Arial"/>
          <w:b/>
          <w:sz w:val="20"/>
          <w:szCs w:val="20"/>
          <w:lang w:val="en-GB"/>
        </w:rPr>
        <w:tab/>
      </w:r>
      <w:r w:rsidR="0035006B">
        <w:rPr>
          <w:rFonts w:ascii="Arial" w:hAnsi="Arial" w:cs="Arial"/>
          <w:b/>
          <w:sz w:val="20"/>
          <w:szCs w:val="20"/>
          <w:lang w:val="en-GB"/>
        </w:rPr>
        <w:t>15 June 2017</w:t>
      </w:r>
    </w:p>
    <w:p w:rsidR="003D6D11" w:rsidRDefault="003D6D11" w:rsidP="007D5514">
      <w:pPr>
        <w:tabs>
          <w:tab w:val="left" w:pos="2160"/>
        </w:tabs>
        <w:rPr>
          <w:rFonts w:ascii="Arial" w:hAnsi="Arial" w:cs="Arial"/>
          <w:sz w:val="20"/>
          <w:szCs w:val="20"/>
          <w:lang w:val="en-GB"/>
        </w:rPr>
      </w:pPr>
      <w:r>
        <w:rPr>
          <w:rFonts w:ascii="Arial" w:hAnsi="Arial" w:cs="Arial"/>
          <w:sz w:val="20"/>
          <w:szCs w:val="20"/>
          <w:lang w:val="en-GB"/>
        </w:rPr>
        <w:tab/>
      </w:r>
    </w:p>
    <w:p w:rsidR="007D5514" w:rsidRDefault="003D6D11" w:rsidP="007D5514">
      <w:pPr>
        <w:tabs>
          <w:tab w:val="left" w:pos="2160"/>
        </w:tabs>
        <w:rPr>
          <w:rFonts w:ascii="Arial" w:hAnsi="Arial" w:cs="Arial"/>
          <w:b/>
          <w:sz w:val="20"/>
          <w:szCs w:val="20"/>
          <w:lang w:val="en-GB"/>
        </w:rPr>
      </w:pPr>
      <w:r>
        <w:rPr>
          <w:rFonts w:ascii="Arial" w:hAnsi="Arial" w:cs="Arial"/>
          <w:b/>
          <w:sz w:val="20"/>
          <w:szCs w:val="20"/>
          <w:lang w:val="en-GB"/>
        </w:rPr>
        <w:t>Submitted by:</w:t>
      </w:r>
      <w:r>
        <w:rPr>
          <w:rFonts w:ascii="Arial" w:hAnsi="Arial" w:cs="Arial"/>
          <w:b/>
          <w:sz w:val="20"/>
          <w:szCs w:val="20"/>
          <w:lang w:val="en-GB"/>
        </w:rPr>
        <w:tab/>
      </w:r>
      <w:r w:rsidR="0035006B">
        <w:rPr>
          <w:rFonts w:ascii="Arial" w:hAnsi="Arial" w:cs="Arial"/>
          <w:b/>
          <w:sz w:val="20"/>
          <w:szCs w:val="20"/>
          <w:lang w:val="en-GB"/>
        </w:rPr>
        <w:t>Secretariat</w:t>
      </w:r>
    </w:p>
    <w:p w:rsidR="003D6D11" w:rsidRDefault="003D6D11" w:rsidP="007D5514">
      <w:pPr>
        <w:tabs>
          <w:tab w:val="left" w:pos="2160"/>
        </w:tabs>
        <w:rPr>
          <w:rFonts w:ascii="Arial" w:hAnsi="Arial" w:cs="Arial"/>
          <w:sz w:val="20"/>
          <w:szCs w:val="20"/>
          <w:lang w:val="en-GB"/>
        </w:rPr>
      </w:pPr>
      <w:r>
        <w:rPr>
          <w:rFonts w:ascii="Arial" w:hAnsi="Arial" w:cs="Arial"/>
          <w:sz w:val="20"/>
          <w:szCs w:val="20"/>
          <w:lang w:val="en-GB"/>
        </w:rPr>
        <w:t>__________________________________________________________________________</w:t>
      </w:r>
    </w:p>
    <w:p w:rsidR="003D6D11" w:rsidRDefault="003D6D11" w:rsidP="003D6D11">
      <w:pPr>
        <w:pStyle w:val="Kopfzeile"/>
        <w:tabs>
          <w:tab w:val="clear" w:pos="4703"/>
          <w:tab w:val="clear" w:pos="9406"/>
        </w:tabs>
        <w:rPr>
          <w:rFonts w:ascii="Arial" w:hAnsi="Arial" w:cs="Arial"/>
          <w:sz w:val="20"/>
          <w:lang w:val="en-GB" w:eastAsia="de-DE"/>
        </w:rPr>
      </w:pPr>
    </w:p>
    <w:p w:rsidR="007976A5" w:rsidRDefault="007976A5" w:rsidP="003D6D11">
      <w:pPr>
        <w:pStyle w:val="Kopfzeile"/>
        <w:tabs>
          <w:tab w:val="clear" w:pos="4703"/>
          <w:tab w:val="clear" w:pos="9406"/>
        </w:tabs>
        <w:rPr>
          <w:rFonts w:ascii="Arial" w:hAnsi="Arial" w:cs="Arial"/>
          <w:sz w:val="20"/>
          <w:lang w:val="en-GB" w:eastAsia="de-DE"/>
        </w:rPr>
      </w:pPr>
    </w:p>
    <w:p w:rsidR="00075502" w:rsidRDefault="00075502" w:rsidP="003D6D11">
      <w:pPr>
        <w:pStyle w:val="Kopfzeile"/>
        <w:tabs>
          <w:tab w:val="clear" w:pos="4703"/>
          <w:tab w:val="clear" w:pos="9406"/>
        </w:tabs>
        <w:rPr>
          <w:rFonts w:ascii="Arial" w:hAnsi="Arial" w:cs="Arial"/>
          <w:sz w:val="20"/>
          <w:lang w:val="en-GB" w:eastAsia="de-DE"/>
        </w:rPr>
      </w:pPr>
    </w:p>
    <w:p w:rsidR="00075502" w:rsidRDefault="00075502" w:rsidP="003D6D11">
      <w:pPr>
        <w:pStyle w:val="Kopfzeile"/>
        <w:tabs>
          <w:tab w:val="clear" w:pos="4703"/>
          <w:tab w:val="clear" w:pos="9406"/>
        </w:tabs>
        <w:rPr>
          <w:rFonts w:ascii="Arial" w:hAnsi="Arial" w:cs="Arial"/>
          <w:sz w:val="20"/>
          <w:lang w:val="en-GB" w:eastAsia="de-DE"/>
        </w:rPr>
      </w:pPr>
    </w:p>
    <w:p w:rsidR="003D6D11" w:rsidRDefault="003D6D11" w:rsidP="003D6D11">
      <w:pPr>
        <w:rPr>
          <w:rFonts w:ascii="Arial" w:hAnsi="Arial"/>
          <w:b/>
          <w:sz w:val="20"/>
          <w:szCs w:val="20"/>
          <w:lang w:val="en-GB"/>
        </w:rPr>
      </w:pPr>
      <w:r w:rsidRPr="00F872A7">
        <w:rPr>
          <w:rFonts w:ascii="Arial" w:hAnsi="Arial"/>
          <w:b/>
          <w:bCs/>
          <w:sz w:val="20"/>
          <w:szCs w:val="20"/>
          <w:lang w:val="en-GB"/>
        </w:rPr>
        <w:t>Proposal</w:t>
      </w:r>
      <w:r w:rsidR="00E20D83">
        <w:rPr>
          <w:rFonts w:ascii="Arial" w:hAnsi="Arial"/>
          <w:b/>
          <w:bCs/>
          <w:sz w:val="20"/>
          <w:szCs w:val="20"/>
          <w:lang w:val="en-GB"/>
        </w:rPr>
        <w:t>:</w:t>
      </w:r>
      <w:r w:rsidR="00E20D83">
        <w:rPr>
          <w:rFonts w:ascii="Arial" w:hAnsi="Arial"/>
          <w:b/>
          <w:bCs/>
          <w:sz w:val="20"/>
          <w:szCs w:val="20"/>
          <w:lang w:val="en-GB"/>
        </w:rPr>
        <w:tab/>
      </w:r>
      <w:r w:rsidR="00004EE5" w:rsidRPr="00E20D83">
        <w:rPr>
          <w:rFonts w:ascii="Arial" w:hAnsi="Arial"/>
          <w:b/>
          <w:sz w:val="20"/>
          <w:szCs w:val="20"/>
          <w:lang w:val="en-GB"/>
        </w:rPr>
        <w:t xml:space="preserve">The meeting is </w:t>
      </w:r>
      <w:r w:rsidR="0035006B">
        <w:rPr>
          <w:rFonts w:ascii="Arial" w:hAnsi="Arial"/>
          <w:b/>
          <w:sz w:val="20"/>
          <w:szCs w:val="20"/>
          <w:lang w:val="en-GB"/>
        </w:rPr>
        <w:t xml:space="preserve">requested to consider the document and provide guidance as indicated. </w:t>
      </w:r>
    </w:p>
    <w:p w:rsidR="007D5514" w:rsidRPr="00E20D83" w:rsidRDefault="007D5514" w:rsidP="003D6D11">
      <w:pPr>
        <w:rPr>
          <w:rFonts w:ascii="Arial" w:hAnsi="Arial"/>
          <w:b/>
          <w:bCs/>
          <w:sz w:val="20"/>
          <w:szCs w:val="20"/>
          <w:lang w:val="en-GB"/>
        </w:rPr>
      </w:pPr>
    </w:p>
    <w:p w:rsidR="003D6D11" w:rsidRPr="00C94373" w:rsidRDefault="003D6D11" w:rsidP="003D6D11">
      <w:pPr>
        <w:pStyle w:val="Textkrper"/>
        <w:rPr>
          <w:szCs w:val="20"/>
          <w:lang w:val="en-GB"/>
        </w:rPr>
      </w:pPr>
    </w:p>
    <w:p w:rsidR="003D6D11" w:rsidRDefault="003D6D11" w:rsidP="003D6D11">
      <w:pPr>
        <w:pStyle w:val="Textkrper"/>
        <w:rPr>
          <w:szCs w:val="20"/>
          <w:lang w:val="en-GB"/>
        </w:rPr>
      </w:pPr>
    </w:p>
    <w:p w:rsidR="00EC5696" w:rsidRDefault="00EC5696" w:rsidP="00EC5696">
      <w:pPr>
        <w:jc w:val="center"/>
        <w:rPr>
          <w:rFonts w:ascii="Arial" w:hAnsi="Arial" w:cs="Arial"/>
          <w:lang w:val="en-GB"/>
        </w:rPr>
      </w:pPr>
    </w:p>
    <w:p w:rsidR="001C042F" w:rsidRDefault="001C042F" w:rsidP="00EC5696">
      <w:pPr>
        <w:jc w:val="center"/>
        <w:rPr>
          <w:rFonts w:ascii="Arial" w:hAnsi="Arial" w:cs="Arial"/>
          <w:lang w:val="en-GB"/>
        </w:rPr>
      </w:pPr>
    </w:p>
    <w:p w:rsidR="00A97B6A" w:rsidRDefault="0035006B" w:rsidP="00A97B6A">
      <w:pPr>
        <w:rPr>
          <w:b/>
          <w:sz w:val="28"/>
          <w:szCs w:val="28"/>
        </w:rPr>
      </w:pPr>
      <w:r w:rsidRPr="0035006B">
        <w:br/>
      </w:r>
      <w:r w:rsidR="001C042F" w:rsidRPr="00615200">
        <w:rPr>
          <w:rFonts w:ascii="Arial" w:hAnsi="Arial" w:cs="Arial"/>
        </w:rPr>
        <w:br w:type="page"/>
      </w:r>
    </w:p>
    <w:p w:rsidR="00A97B6A" w:rsidRDefault="00A97B6A" w:rsidP="00A97B6A">
      <w:pPr>
        <w:rPr>
          <w:b/>
          <w:sz w:val="28"/>
          <w:szCs w:val="28"/>
        </w:rPr>
      </w:pPr>
      <w:r>
        <w:rPr>
          <w:rFonts w:ascii="Arial" w:hAnsi="Arial" w:cs="Arial"/>
          <w:noProof/>
          <w:lang w:val="de-DE" w:eastAsia="de-DE"/>
        </w:rPr>
        <w:lastRenderedPageBreak/>
        <w:drawing>
          <wp:inline distT="0" distB="0" distL="0" distR="0" wp14:anchorId="4D24000F" wp14:editId="792321FA">
            <wp:extent cx="1648047" cy="805596"/>
            <wp:effectExtent l="0" t="0" r="0" b="0"/>
            <wp:docPr id="6" name="Bild 1" descr="Letter Heade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er inf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377" cy="806735"/>
                    </a:xfrm>
                    <a:prstGeom prst="rect">
                      <a:avLst/>
                    </a:prstGeom>
                    <a:noFill/>
                    <a:ln>
                      <a:noFill/>
                    </a:ln>
                  </pic:spPr>
                </pic:pic>
              </a:graphicData>
            </a:graphic>
          </wp:inline>
        </w:drawing>
      </w:r>
    </w:p>
    <w:p w:rsidR="00A97B6A" w:rsidRDefault="00A97B6A" w:rsidP="00A97B6A">
      <w:pPr>
        <w:spacing w:line="280" w:lineRule="atLeast"/>
        <w:jc w:val="center"/>
        <w:rPr>
          <w:b/>
          <w:sz w:val="22"/>
          <w:szCs w:val="22"/>
        </w:rPr>
      </w:pPr>
    </w:p>
    <w:p w:rsidR="00A97B6A" w:rsidRDefault="00A97B6A" w:rsidP="00A97B6A">
      <w:pPr>
        <w:spacing w:line="280" w:lineRule="atLeast"/>
        <w:jc w:val="center"/>
        <w:rPr>
          <w:b/>
          <w:sz w:val="22"/>
          <w:szCs w:val="22"/>
        </w:rPr>
      </w:pPr>
    </w:p>
    <w:p w:rsidR="00A97B6A" w:rsidRPr="00B36B32" w:rsidRDefault="00A97B6A" w:rsidP="00A97B6A">
      <w:pPr>
        <w:spacing w:line="280" w:lineRule="atLeast"/>
        <w:jc w:val="center"/>
        <w:rPr>
          <w:b/>
          <w:sz w:val="22"/>
          <w:szCs w:val="22"/>
        </w:rPr>
      </w:pPr>
      <w:r w:rsidRPr="00B36B32">
        <w:rPr>
          <w:b/>
          <w:noProof/>
          <w:color w:val="000000"/>
          <w:sz w:val="22"/>
          <w:szCs w:val="22"/>
          <w:lang w:val="de-DE" w:eastAsia="de-DE"/>
        </w:rPr>
        <w:drawing>
          <wp:anchor distT="0" distB="0" distL="114300" distR="114300" simplePos="0" relativeHeight="251664384" behindDoc="1" locked="0" layoutInCell="1" allowOverlap="0" wp14:anchorId="76638241" wp14:editId="6288F199">
            <wp:simplePos x="0" y="0"/>
            <wp:positionH relativeFrom="column">
              <wp:align>right</wp:align>
            </wp:positionH>
            <wp:positionV relativeFrom="page">
              <wp:posOffset>360045</wp:posOffset>
            </wp:positionV>
            <wp:extent cx="672465" cy="1240790"/>
            <wp:effectExtent l="0" t="0" r="0" b="0"/>
            <wp:wrapNone/>
            <wp:docPr id="9" name="Bild 9" descr="cw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465" cy="1240790"/>
                    </a:xfrm>
                    <a:prstGeom prst="rect">
                      <a:avLst/>
                    </a:prstGeom>
                    <a:noFill/>
                  </pic:spPr>
                </pic:pic>
              </a:graphicData>
            </a:graphic>
            <wp14:sizeRelH relativeFrom="page">
              <wp14:pctWidth>0</wp14:pctWidth>
            </wp14:sizeRelH>
            <wp14:sizeRelV relativeFrom="page">
              <wp14:pctHeight>0</wp14:pctHeight>
            </wp14:sizeRelV>
          </wp:anchor>
        </w:drawing>
      </w:r>
      <w:r w:rsidRPr="00B36B32">
        <w:rPr>
          <w:noProof/>
          <w:color w:val="000000"/>
          <w:sz w:val="22"/>
          <w:szCs w:val="22"/>
          <w:lang w:val="de-DE" w:eastAsia="de-DE"/>
        </w:rPr>
        <mc:AlternateContent>
          <mc:Choice Requires="wps">
            <w:drawing>
              <wp:anchor distT="0" distB="0" distL="114300" distR="114300" simplePos="0" relativeHeight="251663360" behindDoc="0" locked="0" layoutInCell="1" allowOverlap="0" wp14:anchorId="3AA96069" wp14:editId="0EE47038">
                <wp:simplePos x="0" y="0"/>
                <wp:positionH relativeFrom="column">
                  <wp:align>left</wp:align>
                </wp:positionH>
                <wp:positionV relativeFrom="page">
                  <wp:posOffset>1692275</wp:posOffset>
                </wp:positionV>
                <wp:extent cx="6170295" cy="635"/>
                <wp:effectExtent l="7620" t="6350" r="13335" b="1206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80FED" id="Line 10" o:spid="_x0000_s1026" style="position:absolute;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 from="0,133.25pt" to="485.8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FfKAIAAGMEAAAOAAAAZHJzL2Uyb0RvYy54bWysVE2P2yAQvVfqf0DcE9tZJ5tYcVaVnfSS&#10;tpF2+wMI4BgVAwISJ6r63zuQjzbdw1ZVfcBghsebN288fzp2Eh24dUKrEmfDFCOuqGZC7Ur89WU1&#10;mGLkPFGMSK14iU/c4afF+3fz3hR8pFstGbcIQJQrelPi1ntTJImjLe+IG2rDFWw22nbEw9LuEmZJ&#10;D+idTEZpOkl6bZmxmnLn4Gt93sSLiN80nPovTeO4R7LEwM3H0cZxG8ZkMSfFzhLTCnqhQf6BRUeE&#10;gktvUDXxBO2teAXVCWq1040fUt0lumkE5TEHyCZL/8jmuSWGx1xAHGduMrn/B0s/HzYWCVbiMUaK&#10;dFCitVAcZVGa3rgCIiq1sSE5elTPZq3pN4eUrlqidjxSfDkZOJcFMZO7I2HhDFyw7T9pBjFk73XU&#10;6djYLkCCAugYy3G6lYMfPaLwcZI9pqMZ8KKwN3kYR3xSXI8a6/xHrjsUJiWWQDtCk8Pa+UCFFNeQ&#10;cJPSKyFlrLdUqI+IaTzgtBQsbIYwZ3fbSlp0IMEx8bncexdm9V6xCNZywpaKIR9FUOByHNBdh5Hk&#10;0BMwiXGeCPl2HJCWKvAAESCNy+xspe+zdLacLqf5IB9NloM8revBh1WVDyar7HFcP9RVVWc/QkpZ&#10;XrSCMa5CVldbZ/nf2ebSYGdD3ox9ky+5R486A9nrO5KOLgiFD33oiq1mp40NJQkrcHIMvnRdaJXf&#10;1zHq179h8RMAAP//AwBQSwMEFAAGAAgAAAAhAPyW3ZPdAAAACAEAAA8AAABkcnMvZG93bnJldi54&#10;bWxMj8FOwzAQRO9I/IO1SNyo00qkNMSpoqJKCE60HDhu4iWJiNdRvG0CX4/hAsfZWc28ybez69WZ&#10;xtB5NrBcJKCIa287bgy8Hvc3d6CCIFvsPZOBTwqwLS4vcsysn/iFzgdpVAzhkKGBVmTItA51Sw7D&#10;wg/E0Xv3o0OJcmy0HXGK4a7XqyRJtcOOY0OLA+1aqj8OJ2dAng+76XF4e8BN9WSPsi+/eCqNub6a&#10;y3tQQrP8PcMPfkSHIjJV/sQ2qN5AHCIGVml6Cyram/VyDar6vaSgi1z/H1B8AwAA//8DAFBLAQIt&#10;ABQABgAIAAAAIQC2gziS/gAAAOEBAAATAAAAAAAAAAAAAAAAAAAAAABbQ29udGVudF9UeXBlc10u&#10;eG1sUEsBAi0AFAAGAAgAAAAhADj9If/WAAAAlAEAAAsAAAAAAAAAAAAAAAAALwEAAF9yZWxzLy5y&#10;ZWxzUEsBAi0AFAAGAAgAAAAhAClLoV8oAgAAYwQAAA4AAAAAAAAAAAAAAAAALgIAAGRycy9lMm9E&#10;b2MueG1sUEsBAi0AFAAGAAgAAAAhAPyW3ZPdAAAACAEAAA8AAAAAAAAAAAAAAAAAggQAAGRycy9k&#10;b3ducmV2LnhtbFBLBQYAAAAABAAEAPMAAACMBQAAAAA=&#10;" o:allowoverlap="f" strokeweight=".5pt">
                <v:stroke startarrowwidth="narrow" startarrowlength="short" endarrowwidth="narrow" endarrowlength="short"/>
                <w10:wrap anchory="page"/>
              </v:line>
            </w:pict>
          </mc:Fallback>
        </mc:AlternateContent>
      </w:r>
      <w:r w:rsidRPr="00B36B32">
        <w:rPr>
          <w:b/>
          <w:sz w:val="22"/>
          <w:szCs w:val="22"/>
        </w:rPr>
        <w:t>Outcome of the PCDG4, Monday, June 12, 2017</w:t>
      </w:r>
    </w:p>
    <w:p w:rsidR="00A97B6A" w:rsidRPr="00B36B32" w:rsidRDefault="00A97B6A" w:rsidP="00A97B6A">
      <w:pPr>
        <w:spacing w:line="280" w:lineRule="atLeast"/>
        <w:rPr>
          <w:b/>
          <w:sz w:val="22"/>
          <w:szCs w:val="22"/>
        </w:rPr>
      </w:pPr>
    </w:p>
    <w:p w:rsidR="00A97B6A" w:rsidRPr="006E0533" w:rsidRDefault="00A97B6A" w:rsidP="00A97B6A">
      <w:pPr>
        <w:spacing w:line="280" w:lineRule="atLeast"/>
        <w:jc w:val="both"/>
        <w:rPr>
          <w:sz w:val="22"/>
          <w:szCs w:val="22"/>
        </w:rPr>
      </w:pPr>
      <w:r w:rsidRPr="006E0533">
        <w:rPr>
          <w:sz w:val="22"/>
          <w:szCs w:val="22"/>
        </w:rPr>
        <w:t xml:space="preserve">Participants: </w:t>
      </w:r>
      <w:r w:rsidRPr="006E0533">
        <w:rPr>
          <w:i/>
          <w:sz w:val="22"/>
          <w:szCs w:val="22"/>
        </w:rPr>
        <w:t>Rüdiger Strempel (CWSS Chair), Hubertus Hebbelmann (</w:t>
      </w:r>
      <w:r>
        <w:rPr>
          <w:i/>
          <w:sz w:val="22"/>
          <w:szCs w:val="22"/>
        </w:rPr>
        <w:t xml:space="preserve">DE, </w:t>
      </w:r>
      <w:r w:rsidRPr="006E0533">
        <w:rPr>
          <w:i/>
          <w:sz w:val="22"/>
          <w:szCs w:val="22"/>
        </w:rPr>
        <w:t>Lower Saxony), Margrita Sobottka (</w:t>
      </w:r>
      <w:r>
        <w:rPr>
          <w:i/>
          <w:sz w:val="22"/>
          <w:szCs w:val="22"/>
        </w:rPr>
        <w:t xml:space="preserve">DE, </w:t>
      </w:r>
      <w:r w:rsidRPr="006E0533">
        <w:rPr>
          <w:i/>
          <w:sz w:val="22"/>
          <w:szCs w:val="22"/>
        </w:rPr>
        <w:t>Lower Saxony), Anne Husum Marboe (DK), Thomas Borchers (D</w:t>
      </w:r>
      <w:r>
        <w:rPr>
          <w:i/>
          <w:sz w:val="22"/>
          <w:szCs w:val="22"/>
        </w:rPr>
        <w:t>E, BMUB</w:t>
      </w:r>
      <w:r w:rsidRPr="006E0533">
        <w:rPr>
          <w:i/>
          <w:sz w:val="22"/>
          <w:szCs w:val="22"/>
        </w:rPr>
        <w:t>) , Bernard Baerends (NL), Kees van Es (NL), Hans-Ulrich Rösner (WWF)</w:t>
      </w:r>
    </w:p>
    <w:p w:rsidR="00A97B6A" w:rsidRPr="006E0533" w:rsidRDefault="00A97B6A" w:rsidP="00A97B6A">
      <w:pPr>
        <w:spacing w:line="280" w:lineRule="atLeast"/>
        <w:jc w:val="both"/>
        <w:rPr>
          <w:sz w:val="22"/>
          <w:szCs w:val="22"/>
        </w:rPr>
      </w:pPr>
    </w:p>
    <w:p w:rsidR="00A97B6A" w:rsidRPr="006E0533" w:rsidRDefault="00A97B6A" w:rsidP="00A97B6A">
      <w:pPr>
        <w:spacing w:line="280" w:lineRule="atLeast"/>
        <w:jc w:val="both"/>
        <w:rPr>
          <w:b/>
          <w:sz w:val="22"/>
          <w:szCs w:val="22"/>
        </w:rPr>
      </w:pPr>
      <w:r w:rsidRPr="006E0533">
        <w:rPr>
          <w:b/>
          <w:sz w:val="22"/>
          <w:szCs w:val="22"/>
        </w:rPr>
        <w:t>Introduction of the outcome of the HGL+</w:t>
      </w:r>
    </w:p>
    <w:p w:rsidR="00A97B6A" w:rsidRPr="006E0533" w:rsidRDefault="00A97B6A" w:rsidP="00A97B6A">
      <w:pPr>
        <w:spacing w:line="280" w:lineRule="atLeast"/>
        <w:jc w:val="both"/>
        <w:rPr>
          <w:sz w:val="22"/>
          <w:szCs w:val="22"/>
        </w:rPr>
      </w:pPr>
      <w:r w:rsidRPr="006E0533">
        <w:rPr>
          <w:sz w:val="22"/>
          <w:szCs w:val="22"/>
        </w:rPr>
        <w:t>Regarding the Partner</w:t>
      </w:r>
      <w:r>
        <w:rPr>
          <w:sz w:val="22"/>
          <w:szCs w:val="22"/>
        </w:rPr>
        <w:t xml:space="preserve">ship </w:t>
      </w:r>
      <w:r w:rsidRPr="006E0533">
        <w:rPr>
          <w:sz w:val="22"/>
          <w:szCs w:val="22"/>
        </w:rPr>
        <w:t>Hu</w:t>
      </w:r>
      <w:r>
        <w:rPr>
          <w:sz w:val="22"/>
          <w:szCs w:val="22"/>
        </w:rPr>
        <w:t>b</w:t>
      </w:r>
      <w:r w:rsidRPr="006E0533">
        <w:rPr>
          <w:sz w:val="22"/>
          <w:szCs w:val="22"/>
        </w:rPr>
        <w:t xml:space="preserve"> the HLG+ (May 24, 2017) arrived at the following conclusions. Future discussions regarding the PC should be based on the following premises:  </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The Partnership Center should comprise the CWSS and a future Partnership Hub (PH) under the overall (office)management of the Executive Secretary of CWSS;</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CWSS and the PH should have a common governing body, which would comprise the membership of the current WSB for all issues falling under the mandate of CWSS and possibly an extended membership for decisions concerning issues falling into the remit of the PH;</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It needs to be determined what the composition of this possible extended WSB should be;</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The differentiating criterion for the mandate of CWSS and the remit of the PH could possibly be whether the issues concerned are “mandatory” (CWSS) or “non-mandatory” (PH) tasks. To this end, it needs to be clearly defined which tasks of the TWSC and the Wadden Sea Forum fall under which heading;</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The differentiation between “mandatory” and  “non-mandatory” tasks as well as the question of the composition of a possible extended WSB should be discussed by the next PCDG, to be held prior to WSB 20 with a view to informing the discussions at WSB 20;</w:t>
      </w:r>
    </w:p>
    <w:p w:rsidR="00A97B6A" w:rsidRPr="006E0533" w:rsidRDefault="00A97B6A" w:rsidP="00A97B6A">
      <w:pPr>
        <w:pStyle w:val="Listenabsatz"/>
        <w:numPr>
          <w:ilvl w:val="0"/>
          <w:numId w:val="23"/>
        </w:numPr>
        <w:spacing w:line="280" w:lineRule="atLeast"/>
        <w:jc w:val="both"/>
        <w:rPr>
          <w:rFonts w:ascii="Times New Roman" w:hAnsi="Times New Roman"/>
          <w:lang w:val="en-US"/>
        </w:rPr>
      </w:pPr>
      <w:r w:rsidRPr="006E0533">
        <w:rPr>
          <w:rFonts w:ascii="Times New Roman" w:hAnsi="Times New Roman"/>
          <w:lang w:val="en-US"/>
        </w:rPr>
        <w:t>CWSS is to deliver a paper outlining which tasks are mandatory and which are non-mandatory (taking account also of the work of the WSF);</w:t>
      </w:r>
    </w:p>
    <w:p w:rsidR="00A97B6A" w:rsidRPr="006E0533" w:rsidRDefault="00A97B6A" w:rsidP="00A97B6A">
      <w:pPr>
        <w:spacing w:after="200" w:line="280" w:lineRule="atLeast"/>
        <w:jc w:val="both"/>
        <w:rPr>
          <w:sz w:val="22"/>
          <w:szCs w:val="22"/>
        </w:rPr>
      </w:pPr>
      <w:r w:rsidRPr="006E0533">
        <w:rPr>
          <w:sz w:val="22"/>
          <w:szCs w:val="22"/>
        </w:rPr>
        <w:t>Following the conclusions the HGL+</w:t>
      </w:r>
    </w:p>
    <w:p w:rsidR="00A97B6A" w:rsidRPr="006E0533" w:rsidRDefault="00A97B6A" w:rsidP="00A97B6A">
      <w:pPr>
        <w:pStyle w:val="Listenabsatz"/>
        <w:numPr>
          <w:ilvl w:val="0"/>
          <w:numId w:val="22"/>
        </w:numPr>
        <w:spacing w:line="280" w:lineRule="atLeast"/>
        <w:jc w:val="both"/>
        <w:rPr>
          <w:rFonts w:ascii="Times New Roman" w:hAnsi="Times New Roman"/>
          <w:lang w:val="en-US"/>
        </w:rPr>
      </w:pPr>
      <w:r w:rsidRPr="006E0533">
        <w:rPr>
          <w:rFonts w:ascii="Times New Roman" w:hAnsi="Times New Roman"/>
          <w:lang w:val="en-US"/>
        </w:rPr>
        <w:t>CWSS is to deliver a paper outlining which tasks are “mandatory” and which are “non-mandatory” as a basis for discussion by PCDG 4</w:t>
      </w:r>
    </w:p>
    <w:p w:rsidR="00A97B6A" w:rsidRPr="006E0533" w:rsidRDefault="00A97B6A" w:rsidP="00A97B6A">
      <w:pPr>
        <w:pStyle w:val="Listenabsatz"/>
        <w:numPr>
          <w:ilvl w:val="0"/>
          <w:numId w:val="22"/>
        </w:numPr>
        <w:spacing w:line="280" w:lineRule="atLeast"/>
        <w:jc w:val="both"/>
        <w:rPr>
          <w:rFonts w:ascii="Times New Roman" w:hAnsi="Times New Roman"/>
          <w:lang w:val="en-US"/>
        </w:rPr>
      </w:pPr>
      <w:r w:rsidRPr="006E0533">
        <w:rPr>
          <w:rFonts w:ascii="Times New Roman" w:hAnsi="Times New Roman"/>
          <w:lang w:val="en-US"/>
        </w:rPr>
        <w:t>PCDG 4 is to discuss the issue of “mandatory” and “non-mandatory” tasks as well as the possible composition and mode of establishment of a possible extended WSB and to deliver a report to WSB 20</w:t>
      </w:r>
    </w:p>
    <w:p w:rsidR="00A97B6A" w:rsidRPr="006E0533" w:rsidRDefault="00A97B6A" w:rsidP="00A97B6A">
      <w:pPr>
        <w:pStyle w:val="Listenabsatz"/>
        <w:spacing w:line="280" w:lineRule="atLeast"/>
        <w:jc w:val="both"/>
        <w:rPr>
          <w:rFonts w:ascii="Times New Roman" w:hAnsi="Times New Roman"/>
          <w:lang w:val="en-US"/>
        </w:rPr>
      </w:pPr>
      <w:r w:rsidRPr="006E0533">
        <w:rPr>
          <w:rFonts w:ascii="Times New Roman" w:hAnsi="Times New Roman"/>
          <w:lang w:val="en-US"/>
        </w:rPr>
        <w:t xml:space="preserve">  </w:t>
      </w:r>
    </w:p>
    <w:p w:rsidR="00A97B6A" w:rsidRPr="006E0533" w:rsidRDefault="00A97B6A" w:rsidP="00A97B6A">
      <w:pPr>
        <w:spacing w:line="280" w:lineRule="atLeast"/>
        <w:jc w:val="both"/>
        <w:rPr>
          <w:b/>
          <w:sz w:val="22"/>
          <w:szCs w:val="22"/>
        </w:rPr>
      </w:pPr>
      <w:r w:rsidRPr="006E0533">
        <w:rPr>
          <w:b/>
          <w:sz w:val="22"/>
          <w:szCs w:val="22"/>
        </w:rPr>
        <w:br w:type="page"/>
      </w:r>
    </w:p>
    <w:p w:rsidR="00A97B6A" w:rsidRPr="006E0533" w:rsidRDefault="00A97B6A" w:rsidP="00A97B6A">
      <w:pPr>
        <w:spacing w:line="280" w:lineRule="atLeast"/>
        <w:jc w:val="both"/>
        <w:rPr>
          <w:b/>
          <w:sz w:val="22"/>
          <w:szCs w:val="22"/>
        </w:rPr>
      </w:pPr>
      <w:r w:rsidRPr="006E0533">
        <w:rPr>
          <w:b/>
          <w:sz w:val="22"/>
          <w:szCs w:val="22"/>
        </w:rPr>
        <w:lastRenderedPageBreak/>
        <w:t>Mandatory and non-mandatory activities in the framework of the TWSC</w:t>
      </w:r>
    </w:p>
    <w:p w:rsidR="00A97B6A" w:rsidRPr="006E0533" w:rsidRDefault="00A97B6A" w:rsidP="00A97B6A">
      <w:pPr>
        <w:spacing w:line="280" w:lineRule="atLeast"/>
        <w:jc w:val="both"/>
        <w:rPr>
          <w:sz w:val="22"/>
          <w:szCs w:val="22"/>
        </w:rPr>
      </w:pPr>
      <w:r>
        <w:rPr>
          <w:sz w:val="22"/>
          <w:szCs w:val="22"/>
        </w:rPr>
        <w:t>Paper submitted by CWSS to</w:t>
      </w:r>
      <w:r w:rsidRPr="006E0533">
        <w:rPr>
          <w:sz w:val="22"/>
          <w:szCs w:val="22"/>
        </w:rPr>
        <w:t xml:space="preserve"> the PCDG4</w:t>
      </w:r>
    </w:p>
    <w:p w:rsidR="00A97B6A" w:rsidRPr="006E0533" w:rsidRDefault="00A97B6A" w:rsidP="00A97B6A">
      <w:pPr>
        <w:spacing w:line="280" w:lineRule="atLeast"/>
        <w:jc w:val="both"/>
        <w:rPr>
          <w:sz w:val="22"/>
          <w:szCs w:val="22"/>
        </w:rPr>
      </w:pPr>
    </w:p>
    <w:p w:rsidR="00A97B6A" w:rsidRPr="006E0533" w:rsidRDefault="00A97B6A" w:rsidP="00A97B6A">
      <w:pPr>
        <w:spacing w:line="280" w:lineRule="atLeast"/>
        <w:jc w:val="both"/>
        <w:rPr>
          <w:sz w:val="22"/>
          <w:szCs w:val="22"/>
        </w:rPr>
      </w:pPr>
      <w:r w:rsidRPr="006E0533">
        <w:rPr>
          <w:sz w:val="22"/>
          <w:szCs w:val="22"/>
        </w:rPr>
        <w:t>Main conclusion of the paper:</w:t>
      </w:r>
    </w:p>
    <w:p w:rsidR="00A97B6A" w:rsidRPr="006E0533" w:rsidRDefault="00A97B6A" w:rsidP="00A97B6A">
      <w:pPr>
        <w:pStyle w:val="Listenabsatz"/>
        <w:numPr>
          <w:ilvl w:val="0"/>
          <w:numId w:val="24"/>
        </w:numPr>
        <w:spacing w:after="0" w:line="280" w:lineRule="atLeast"/>
        <w:jc w:val="both"/>
        <w:rPr>
          <w:rFonts w:ascii="Times New Roman" w:hAnsi="Times New Roman"/>
          <w:lang w:val="en-US"/>
        </w:rPr>
      </w:pPr>
      <w:r w:rsidRPr="006E0533">
        <w:rPr>
          <w:rFonts w:ascii="Times New Roman" w:hAnsi="Times New Roman"/>
          <w:lang w:val="en-US"/>
        </w:rPr>
        <w:t>The responsibility for compliance with legal (mandatory) obligations res</w:t>
      </w:r>
      <w:r>
        <w:rPr>
          <w:rFonts w:ascii="Times New Roman" w:hAnsi="Times New Roman"/>
          <w:lang w:val="en-US"/>
        </w:rPr>
        <w:t>ts individually with the states rather than the TWSC as a whole.</w:t>
      </w:r>
    </w:p>
    <w:p w:rsidR="00A97B6A" w:rsidRPr="006E0533" w:rsidRDefault="00A97B6A" w:rsidP="00A97B6A">
      <w:pPr>
        <w:pStyle w:val="Listenabsatz"/>
        <w:numPr>
          <w:ilvl w:val="0"/>
          <w:numId w:val="24"/>
        </w:numPr>
        <w:spacing w:after="0" w:line="280" w:lineRule="atLeast"/>
        <w:jc w:val="both"/>
        <w:rPr>
          <w:rFonts w:ascii="Times New Roman" w:hAnsi="Times New Roman"/>
          <w:lang w:val="en-US"/>
        </w:rPr>
      </w:pPr>
      <w:r w:rsidRPr="006E0533">
        <w:rPr>
          <w:rFonts w:ascii="Times New Roman" w:hAnsi="Times New Roman"/>
          <w:lang w:val="en-US"/>
        </w:rPr>
        <w:t>The A</w:t>
      </w:r>
      <w:r>
        <w:rPr>
          <w:rFonts w:ascii="Times New Roman" w:hAnsi="Times New Roman"/>
          <w:lang w:val="en-US"/>
        </w:rPr>
        <w:t xml:space="preserve">dministrative Agreement </w:t>
      </w:r>
      <w:r w:rsidRPr="006E0533">
        <w:rPr>
          <w:rFonts w:ascii="Times New Roman" w:hAnsi="Times New Roman"/>
          <w:lang w:val="en-US"/>
        </w:rPr>
        <w:t xml:space="preserve">2010 </w:t>
      </w:r>
      <w:r>
        <w:rPr>
          <w:rFonts w:ascii="Times New Roman" w:hAnsi="Times New Roman"/>
          <w:lang w:val="en-US"/>
        </w:rPr>
        <w:t xml:space="preserve">(functions of the CWSS) </w:t>
      </w:r>
      <w:r w:rsidRPr="006E0533">
        <w:rPr>
          <w:rFonts w:ascii="Times New Roman" w:hAnsi="Times New Roman"/>
          <w:lang w:val="en-US"/>
        </w:rPr>
        <w:t>is the only legally binding instrument of the TWSC which defines mandatory activities (narrow interpretation of the te</w:t>
      </w:r>
      <w:r>
        <w:rPr>
          <w:rFonts w:ascii="Times New Roman" w:hAnsi="Times New Roman"/>
          <w:lang w:val="en-US"/>
        </w:rPr>
        <w:t>r</w:t>
      </w:r>
      <w:r w:rsidRPr="006E0533">
        <w:rPr>
          <w:rFonts w:ascii="Times New Roman" w:hAnsi="Times New Roman"/>
          <w:lang w:val="en-US"/>
        </w:rPr>
        <w:t>m mandatory)</w:t>
      </w:r>
    </w:p>
    <w:p w:rsidR="00A97B6A" w:rsidRPr="006E0533" w:rsidRDefault="00A97B6A" w:rsidP="00A97B6A">
      <w:pPr>
        <w:pStyle w:val="Listenabsatz"/>
        <w:numPr>
          <w:ilvl w:val="0"/>
          <w:numId w:val="24"/>
        </w:numPr>
        <w:spacing w:after="0" w:line="280" w:lineRule="atLeast"/>
        <w:jc w:val="both"/>
        <w:rPr>
          <w:rFonts w:ascii="Times New Roman" w:hAnsi="Times New Roman"/>
          <w:lang w:val="en-US"/>
        </w:rPr>
      </w:pPr>
      <w:r>
        <w:rPr>
          <w:rFonts w:ascii="Times New Roman" w:hAnsi="Times New Roman"/>
          <w:lang w:val="en-US"/>
        </w:rPr>
        <w:t>In a broader interpretation, mandatory tasks</w:t>
      </w:r>
      <w:r w:rsidRPr="006E0533">
        <w:rPr>
          <w:rFonts w:ascii="Times New Roman" w:hAnsi="Times New Roman"/>
          <w:lang w:val="en-US"/>
        </w:rPr>
        <w:t xml:space="preserve"> can also emanate from the political agreements and declarations</w:t>
      </w:r>
      <w:r>
        <w:rPr>
          <w:rFonts w:ascii="Times New Roman" w:hAnsi="Times New Roman"/>
          <w:lang w:val="en-US"/>
        </w:rPr>
        <w:t xml:space="preserve"> of the Cooperation</w:t>
      </w:r>
    </w:p>
    <w:p w:rsidR="00A97B6A" w:rsidRPr="006E0533" w:rsidRDefault="00A97B6A" w:rsidP="00A97B6A">
      <w:pPr>
        <w:pStyle w:val="Listenabsatz"/>
        <w:numPr>
          <w:ilvl w:val="0"/>
          <w:numId w:val="24"/>
        </w:numPr>
        <w:spacing w:after="0" w:line="280" w:lineRule="atLeast"/>
        <w:jc w:val="both"/>
        <w:rPr>
          <w:rFonts w:ascii="Times New Roman" w:hAnsi="Times New Roman"/>
          <w:lang w:val="en-US"/>
        </w:rPr>
      </w:pPr>
      <w:r w:rsidRPr="006E0533">
        <w:rPr>
          <w:rFonts w:ascii="Times New Roman" w:hAnsi="Times New Roman"/>
          <w:lang w:val="en-US"/>
        </w:rPr>
        <w:t xml:space="preserve">Based on </w:t>
      </w:r>
      <w:r>
        <w:rPr>
          <w:rFonts w:ascii="Times New Roman" w:hAnsi="Times New Roman"/>
          <w:lang w:val="en-US"/>
        </w:rPr>
        <w:t xml:space="preserve">this </w:t>
      </w:r>
      <w:r w:rsidRPr="006E0533">
        <w:rPr>
          <w:rFonts w:ascii="Times New Roman" w:hAnsi="Times New Roman"/>
          <w:lang w:val="en-US"/>
        </w:rPr>
        <w:t>inter</w:t>
      </w:r>
      <w:r>
        <w:rPr>
          <w:rFonts w:ascii="Times New Roman" w:hAnsi="Times New Roman"/>
          <w:lang w:val="en-US"/>
        </w:rPr>
        <w:t xml:space="preserve">pretation, the TWSC’s mandatory tasks can be defined by the 2010 JD, the WSP2010 </w:t>
      </w:r>
      <w:r w:rsidRPr="006E0533">
        <w:rPr>
          <w:rFonts w:ascii="Times New Roman" w:hAnsi="Times New Roman"/>
          <w:lang w:val="en-US"/>
        </w:rPr>
        <w:t>and the</w:t>
      </w:r>
      <w:r>
        <w:rPr>
          <w:rFonts w:ascii="Times New Roman" w:hAnsi="Times New Roman"/>
          <w:lang w:val="en-US"/>
        </w:rPr>
        <w:t xml:space="preserve"> various declarations</w:t>
      </w:r>
    </w:p>
    <w:p w:rsidR="00A97B6A" w:rsidRPr="006E0533" w:rsidRDefault="00A97B6A" w:rsidP="00A97B6A">
      <w:pPr>
        <w:pStyle w:val="Listenabsatz"/>
        <w:numPr>
          <w:ilvl w:val="0"/>
          <w:numId w:val="24"/>
        </w:numPr>
        <w:spacing w:after="0" w:line="280" w:lineRule="atLeast"/>
        <w:jc w:val="both"/>
        <w:rPr>
          <w:rFonts w:ascii="Times New Roman" w:hAnsi="Times New Roman"/>
          <w:lang w:val="en-US"/>
        </w:rPr>
      </w:pPr>
      <w:r w:rsidRPr="006E0533">
        <w:rPr>
          <w:rFonts w:ascii="Times New Roman" w:hAnsi="Times New Roman"/>
          <w:lang w:val="en-US"/>
        </w:rPr>
        <w:t xml:space="preserve">This means that most activities currently undertaken are wholly or partially mandatory in the sense of the broader definition. </w:t>
      </w:r>
    </w:p>
    <w:p w:rsidR="00A97B6A" w:rsidRPr="00D90F31" w:rsidRDefault="00A97B6A" w:rsidP="00A97B6A">
      <w:pPr>
        <w:pStyle w:val="Listenabsatz"/>
        <w:numPr>
          <w:ilvl w:val="0"/>
          <w:numId w:val="24"/>
        </w:numPr>
        <w:spacing w:after="0" w:line="280" w:lineRule="atLeast"/>
        <w:jc w:val="both"/>
        <w:rPr>
          <w:rFonts w:ascii="Times New Roman" w:hAnsi="Times New Roman"/>
          <w:lang w:val="en-US"/>
        </w:rPr>
      </w:pPr>
      <w:r w:rsidRPr="006E0533">
        <w:rPr>
          <w:rFonts w:ascii="Times New Roman" w:hAnsi="Times New Roman"/>
          <w:lang w:val="en-US"/>
        </w:rPr>
        <w:t xml:space="preserve">This indicates that categorizing activities as mandatory or non-mandatory may not be the </w:t>
      </w:r>
      <w:r w:rsidRPr="00D90F31">
        <w:rPr>
          <w:rFonts w:ascii="Times New Roman" w:hAnsi="Times New Roman"/>
          <w:lang w:val="en-US"/>
        </w:rPr>
        <w:t>most expedient way to determine the mandate of the future partnership element of the Partnership Center</w:t>
      </w:r>
    </w:p>
    <w:p w:rsidR="00A97B6A" w:rsidRPr="00D90F31" w:rsidRDefault="00A97B6A" w:rsidP="00A97B6A">
      <w:pPr>
        <w:pStyle w:val="Listenabsatz"/>
        <w:numPr>
          <w:ilvl w:val="0"/>
          <w:numId w:val="24"/>
        </w:numPr>
        <w:spacing w:after="0" w:line="280" w:lineRule="atLeast"/>
        <w:jc w:val="both"/>
        <w:rPr>
          <w:rFonts w:ascii="Times New Roman" w:hAnsi="Times New Roman"/>
          <w:lang w:val="en-US"/>
        </w:rPr>
      </w:pPr>
      <w:r w:rsidRPr="00D90F31">
        <w:rPr>
          <w:rFonts w:ascii="Times New Roman" w:hAnsi="Times New Roman"/>
          <w:lang w:val="en-US"/>
        </w:rPr>
        <w:t xml:space="preserve">It is a </w:t>
      </w:r>
      <w:r>
        <w:rPr>
          <w:rFonts w:ascii="Times New Roman" w:hAnsi="Times New Roman"/>
          <w:lang w:val="en-US"/>
        </w:rPr>
        <w:t xml:space="preserve">political </w:t>
      </w:r>
      <w:r w:rsidRPr="00D90F31">
        <w:rPr>
          <w:rFonts w:ascii="Times New Roman" w:hAnsi="Times New Roman"/>
          <w:lang w:val="en-US"/>
        </w:rPr>
        <w:t xml:space="preserve">rather than a legal decision which activities </w:t>
      </w:r>
      <w:r>
        <w:rPr>
          <w:rFonts w:ascii="Times New Roman" w:hAnsi="Times New Roman"/>
          <w:lang w:val="en-US"/>
        </w:rPr>
        <w:t xml:space="preserve">the Parties </w:t>
      </w:r>
      <w:r w:rsidRPr="00D90F31">
        <w:rPr>
          <w:rFonts w:ascii="Times New Roman" w:hAnsi="Times New Roman"/>
          <w:lang w:val="en-US"/>
        </w:rPr>
        <w:t xml:space="preserve">wish to assign to the existent intergovernmental segment of the TWSC and which tasks they may see fit to fulfill in </w:t>
      </w:r>
      <w:r>
        <w:rPr>
          <w:rFonts w:ascii="Times New Roman" w:hAnsi="Times New Roman"/>
          <w:lang w:val="en-US"/>
        </w:rPr>
        <w:t>the Partnership Hub.</w:t>
      </w:r>
    </w:p>
    <w:p w:rsidR="00A97B6A" w:rsidRDefault="00A97B6A" w:rsidP="00A97B6A">
      <w:pPr>
        <w:spacing w:line="280" w:lineRule="atLeast"/>
        <w:jc w:val="both"/>
        <w:rPr>
          <w:sz w:val="22"/>
          <w:szCs w:val="22"/>
        </w:rPr>
      </w:pPr>
    </w:p>
    <w:p w:rsidR="00A97B6A" w:rsidRPr="00345F49" w:rsidRDefault="00A97B6A" w:rsidP="00A97B6A">
      <w:pPr>
        <w:spacing w:line="280" w:lineRule="atLeast"/>
        <w:jc w:val="both"/>
        <w:rPr>
          <w:sz w:val="22"/>
          <w:szCs w:val="22"/>
        </w:rPr>
      </w:pPr>
      <w:r w:rsidRPr="00345F49">
        <w:rPr>
          <w:sz w:val="22"/>
          <w:szCs w:val="22"/>
        </w:rPr>
        <w:t>The PCDG4 t</w:t>
      </w:r>
      <w:r>
        <w:rPr>
          <w:sz w:val="22"/>
          <w:szCs w:val="22"/>
        </w:rPr>
        <w:t>hanked t</w:t>
      </w:r>
      <w:r w:rsidRPr="00345F49">
        <w:rPr>
          <w:sz w:val="22"/>
          <w:szCs w:val="22"/>
        </w:rPr>
        <w:t xml:space="preserve">he </w:t>
      </w:r>
      <w:r>
        <w:rPr>
          <w:sz w:val="22"/>
          <w:szCs w:val="22"/>
        </w:rPr>
        <w:t>Secretariat</w:t>
      </w:r>
      <w:r w:rsidRPr="00345F49">
        <w:rPr>
          <w:sz w:val="22"/>
          <w:szCs w:val="22"/>
        </w:rPr>
        <w:t xml:space="preserve"> for the </w:t>
      </w:r>
      <w:r>
        <w:rPr>
          <w:sz w:val="22"/>
          <w:szCs w:val="22"/>
        </w:rPr>
        <w:t xml:space="preserve">clear </w:t>
      </w:r>
      <w:r w:rsidRPr="00345F49">
        <w:rPr>
          <w:sz w:val="22"/>
          <w:szCs w:val="22"/>
        </w:rPr>
        <w:t xml:space="preserve">paper and agreed </w:t>
      </w:r>
      <w:r>
        <w:rPr>
          <w:sz w:val="22"/>
          <w:szCs w:val="22"/>
        </w:rPr>
        <w:t xml:space="preserve">on the conclusions of the paper that a clear formal </w:t>
      </w:r>
      <w:r w:rsidRPr="00345F49">
        <w:rPr>
          <w:sz w:val="22"/>
          <w:szCs w:val="22"/>
        </w:rPr>
        <w:t xml:space="preserve">distinction between mandatory and non-mandatory activities of the TWSC is </w:t>
      </w:r>
      <w:r>
        <w:rPr>
          <w:sz w:val="22"/>
          <w:szCs w:val="22"/>
        </w:rPr>
        <w:t xml:space="preserve">not the most suitable way to distinguish between the tasks of the TWSC and the Partnership Hub. </w:t>
      </w:r>
    </w:p>
    <w:p w:rsidR="00A97B6A" w:rsidRDefault="00A97B6A" w:rsidP="00A97B6A">
      <w:pPr>
        <w:spacing w:line="280" w:lineRule="atLeast"/>
        <w:jc w:val="both"/>
        <w:rPr>
          <w:sz w:val="22"/>
          <w:szCs w:val="22"/>
        </w:rPr>
      </w:pPr>
    </w:p>
    <w:p w:rsidR="00A97B6A" w:rsidRDefault="00A97B6A" w:rsidP="00A97B6A">
      <w:pPr>
        <w:spacing w:line="280" w:lineRule="atLeast"/>
        <w:jc w:val="both"/>
        <w:rPr>
          <w:sz w:val="22"/>
          <w:szCs w:val="22"/>
        </w:rPr>
      </w:pPr>
      <w:r>
        <w:rPr>
          <w:sz w:val="22"/>
          <w:szCs w:val="22"/>
        </w:rPr>
        <w:t xml:space="preserve">There was a general understanding that the decision that a given  task is to be dealt with by the PH does not necessarily imply that it is no longer dealt with by CWSS/ in the TWSC. </w:t>
      </w:r>
    </w:p>
    <w:p w:rsidR="00A97B6A" w:rsidRDefault="00A97B6A" w:rsidP="00A97B6A">
      <w:pPr>
        <w:spacing w:line="280" w:lineRule="atLeast"/>
        <w:jc w:val="both"/>
        <w:rPr>
          <w:sz w:val="22"/>
          <w:szCs w:val="22"/>
        </w:rPr>
      </w:pPr>
    </w:p>
    <w:p w:rsidR="00A97B6A" w:rsidRPr="00345F49" w:rsidRDefault="00A97B6A" w:rsidP="00A97B6A">
      <w:pPr>
        <w:spacing w:line="280" w:lineRule="atLeast"/>
        <w:jc w:val="both"/>
        <w:rPr>
          <w:sz w:val="22"/>
          <w:szCs w:val="22"/>
        </w:rPr>
      </w:pPr>
      <w:r>
        <w:rPr>
          <w:sz w:val="22"/>
          <w:szCs w:val="22"/>
        </w:rPr>
        <w:t xml:space="preserve">Because it is rather apolitical discussion than a legal one which role and tasks belong to the Partnership Hub, the PCDG4 distinguished the following sectors/partner-networks to be potentially invited to participate in the Partnership Hub and the possible benefit (added value) of the Partnership Hub for these sectors/partner networks. These benefits of the Partnership Hub can differ from sector to sector/partner network to partner network, although there are  general benefits of the Partnership Hub for all partners. Accordingly, the role and services provided by the PH may also differ from sector to sector.   </w:t>
      </w:r>
    </w:p>
    <w:p w:rsidR="00A97B6A" w:rsidRPr="0090092C" w:rsidRDefault="00A97B6A" w:rsidP="00A97B6A">
      <w:pPr>
        <w:spacing w:line="280" w:lineRule="atLeast"/>
      </w:pPr>
    </w:p>
    <w:tbl>
      <w:tblPr>
        <w:tblStyle w:val="Tabellenraster"/>
        <w:tblW w:w="0" w:type="auto"/>
        <w:tblLook w:val="04A0" w:firstRow="1" w:lastRow="0" w:firstColumn="1" w:lastColumn="0" w:noHBand="0" w:noVBand="1"/>
      </w:tblPr>
      <w:tblGrid>
        <w:gridCol w:w="4048"/>
        <w:gridCol w:w="4049"/>
      </w:tblGrid>
      <w:tr w:rsidR="00A97B6A" w:rsidRPr="00D64937" w:rsidTr="00957413">
        <w:tc>
          <w:tcPr>
            <w:tcW w:w="4048" w:type="dxa"/>
            <w:shd w:val="clear" w:color="auto" w:fill="000000" w:themeFill="text1"/>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 xml:space="preserve">Potential </w:t>
            </w:r>
            <w:r>
              <w:rPr>
                <w:rFonts w:ascii="Times New Roman" w:hAnsi="Times New Roman"/>
                <w:sz w:val="22"/>
              </w:rPr>
              <w:t>sector/</w:t>
            </w:r>
            <w:r w:rsidRPr="00B36B32">
              <w:rPr>
                <w:rFonts w:ascii="Times New Roman" w:hAnsi="Times New Roman"/>
                <w:sz w:val="22"/>
              </w:rPr>
              <w:t>partner</w:t>
            </w:r>
            <w:r>
              <w:rPr>
                <w:rFonts w:ascii="Times New Roman" w:hAnsi="Times New Roman"/>
                <w:sz w:val="22"/>
              </w:rPr>
              <w:t>-networks</w:t>
            </w:r>
            <w:r w:rsidRPr="00B36B32">
              <w:rPr>
                <w:rFonts w:ascii="Times New Roman" w:hAnsi="Times New Roman"/>
                <w:sz w:val="22"/>
              </w:rPr>
              <w:t xml:space="preserve"> </w:t>
            </w:r>
            <w:r>
              <w:rPr>
                <w:rFonts w:ascii="Times New Roman" w:hAnsi="Times New Roman"/>
                <w:sz w:val="22"/>
              </w:rPr>
              <w:br/>
            </w:r>
            <w:r w:rsidRPr="00B36B32">
              <w:rPr>
                <w:rFonts w:ascii="Times New Roman" w:hAnsi="Times New Roman"/>
                <w:sz w:val="22"/>
              </w:rPr>
              <w:t>for the Partner</w:t>
            </w:r>
            <w:r>
              <w:rPr>
                <w:rFonts w:ascii="Times New Roman" w:hAnsi="Times New Roman"/>
                <w:sz w:val="22"/>
              </w:rPr>
              <w:t>ship</w:t>
            </w:r>
            <w:r w:rsidRPr="00B36B32">
              <w:rPr>
                <w:rFonts w:ascii="Times New Roman" w:hAnsi="Times New Roman"/>
                <w:sz w:val="22"/>
              </w:rPr>
              <w:t xml:space="preserve"> Hub</w:t>
            </w:r>
          </w:p>
          <w:p w:rsidR="00A97B6A" w:rsidRPr="00B36B32" w:rsidRDefault="00A97B6A" w:rsidP="00957413">
            <w:pPr>
              <w:spacing w:line="280" w:lineRule="atLeast"/>
              <w:rPr>
                <w:rFonts w:ascii="Times New Roman" w:hAnsi="Times New Roman"/>
                <w:sz w:val="22"/>
              </w:rPr>
            </w:pPr>
          </w:p>
        </w:tc>
        <w:tc>
          <w:tcPr>
            <w:tcW w:w="4049" w:type="dxa"/>
            <w:shd w:val="clear" w:color="auto" w:fill="000000" w:themeFill="text1"/>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 xml:space="preserve">Added value - Role </w:t>
            </w:r>
            <w:r>
              <w:rPr>
                <w:rFonts w:ascii="Times New Roman" w:hAnsi="Times New Roman"/>
                <w:sz w:val="22"/>
              </w:rPr>
              <w:br/>
              <w:t xml:space="preserve">of the </w:t>
            </w:r>
            <w:r w:rsidRPr="00B36B32">
              <w:rPr>
                <w:rFonts w:ascii="Times New Roman" w:hAnsi="Times New Roman"/>
                <w:sz w:val="22"/>
              </w:rPr>
              <w:t>Partner</w:t>
            </w:r>
            <w:r>
              <w:rPr>
                <w:rFonts w:ascii="Times New Roman" w:hAnsi="Times New Roman"/>
                <w:sz w:val="22"/>
              </w:rPr>
              <w:t xml:space="preserve">ship </w:t>
            </w:r>
            <w:r w:rsidRPr="00B36B32">
              <w:rPr>
                <w:rFonts w:ascii="Times New Roman" w:hAnsi="Times New Roman"/>
                <w:sz w:val="22"/>
              </w:rPr>
              <w:t>Hu</w:t>
            </w:r>
            <w:r>
              <w:rPr>
                <w:rFonts w:ascii="Times New Roman" w:hAnsi="Times New Roman"/>
                <w:sz w:val="22"/>
              </w:rPr>
              <w:t>b</w:t>
            </w:r>
          </w:p>
        </w:tc>
      </w:tr>
      <w:tr w:rsidR="00A97B6A" w:rsidRPr="00D64937"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All partners</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Network facilitation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Exchange information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Project-initiation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Enhanced visibility and raised profile</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Political influence</w:t>
            </w:r>
          </w:p>
        </w:tc>
      </w:tr>
      <w:tr w:rsidR="00A97B6A" w:rsidRPr="0090092C"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Cultural and landscape</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Acknowledgement</w:t>
            </w:r>
          </w:p>
        </w:tc>
      </w:tr>
      <w:tr w:rsidR="00A97B6A" w:rsidRPr="00D64937"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Education</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Development &amp; providing of educational products</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lastRenderedPageBreak/>
              <w:t>Improve quality + trilateral WH focus</w:t>
            </w:r>
          </w:p>
        </w:tc>
      </w:tr>
      <w:tr w:rsidR="00A97B6A" w:rsidRPr="0090092C"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lastRenderedPageBreak/>
              <w:t>Nature-management / green NGO’s</w:t>
            </w:r>
          </w:p>
        </w:tc>
        <w:tc>
          <w:tcPr>
            <w:tcW w:w="4049" w:type="dxa"/>
          </w:tcPr>
          <w:p w:rsidR="00A97B6A" w:rsidRPr="00B36B32" w:rsidRDefault="00A97B6A" w:rsidP="00957413">
            <w:pPr>
              <w:spacing w:line="280" w:lineRule="atLeast"/>
              <w:rPr>
                <w:rFonts w:ascii="Times New Roman" w:hAnsi="Times New Roman"/>
                <w:sz w:val="22"/>
              </w:rPr>
            </w:pPr>
            <w:r>
              <w:rPr>
                <w:rFonts w:ascii="Times New Roman" w:hAnsi="Times New Roman"/>
                <w:sz w:val="22"/>
              </w:rPr>
              <w:t>See ‘all partners’</w:t>
            </w:r>
          </w:p>
        </w:tc>
      </w:tr>
      <w:tr w:rsidR="00A97B6A" w:rsidRPr="00D64937"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Regional food production</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Platform for innovation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Market access</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Acknowledgment</w:t>
            </w:r>
          </w:p>
        </w:tc>
      </w:tr>
      <w:tr w:rsidR="00A97B6A" w:rsidRPr="00D64937"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Tourism</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Innovation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Co-creation</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Enhances sustainability</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Regional development</w:t>
            </w:r>
          </w:p>
        </w:tc>
      </w:tr>
      <w:tr w:rsidR="00A97B6A" w:rsidRPr="0090092C"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Research</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Meeting place (see all partners)</w:t>
            </w:r>
          </w:p>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Continual agenda development</w:t>
            </w:r>
          </w:p>
          <w:p w:rsidR="00A97B6A" w:rsidRPr="00B36B32" w:rsidRDefault="00A97B6A" w:rsidP="00957413">
            <w:pPr>
              <w:spacing w:line="280" w:lineRule="atLeast"/>
              <w:rPr>
                <w:rFonts w:ascii="Times New Roman" w:hAnsi="Times New Roman"/>
                <w:sz w:val="22"/>
              </w:rPr>
            </w:pPr>
          </w:p>
        </w:tc>
      </w:tr>
      <w:tr w:rsidR="00A97B6A" w:rsidRPr="0090092C"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Regional shipping and harbors</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Innovation</w:t>
            </w:r>
          </w:p>
        </w:tc>
      </w:tr>
      <w:tr w:rsidR="00A97B6A" w:rsidRPr="0090092C"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Fishery</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Enhances sustainability</w:t>
            </w:r>
          </w:p>
          <w:p w:rsidR="00A97B6A" w:rsidRPr="00B36B32" w:rsidRDefault="00A97B6A" w:rsidP="00957413">
            <w:pPr>
              <w:spacing w:line="280" w:lineRule="atLeast"/>
              <w:rPr>
                <w:rFonts w:ascii="Times New Roman" w:hAnsi="Times New Roman"/>
                <w:sz w:val="22"/>
              </w:rPr>
            </w:pPr>
          </w:p>
        </w:tc>
      </w:tr>
      <w:tr w:rsidR="00A97B6A" w:rsidRPr="00D64937" w:rsidTr="00957413">
        <w:tc>
          <w:tcPr>
            <w:tcW w:w="4048"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Energy / CO</w:t>
            </w:r>
            <w:r w:rsidRPr="00B36B32">
              <w:rPr>
                <w:rFonts w:ascii="Times New Roman" w:hAnsi="Times New Roman"/>
                <w:sz w:val="22"/>
                <w:vertAlign w:val="subscript"/>
              </w:rPr>
              <w:t>2</w:t>
            </w:r>
            <w:r w:rsidRPr="00B36B32">
              <w:rPr>
                <w:rFonts w:ascii="Times New Roman" w:hAnsi="Times New Roman"/>
                <w:sz w:val="22"/>
              </w:rPr>
              <w:t>-neutral</w:t>
            </w:r>
          </w:p>
        </w:tc>
        <w:tc>
          <w:tcPr>
            <w:tcW w:w="4049" w:type="dxa"/>
          </w:tcPr>
          <w:p w:rsidR="00A97B6A" w:rsidRPr="00B36B32" w:rsidRDefault="00A97B6A" w:rsidP="00957413">
            <w:pPr>
              <w:spacing w:line="280" w:lineRule="atLeast"/>
              <w:rPr>
                <w:rFonts w:ascii="Times New Roman" w:hAnsi="Times New Roman"/>
                <w:sz w:val="22"/>
              </w:rPr>
            </w:pPr>
            <w:r w:rsidRPr="00B36B32">
              <w:rPr>
                <w:rFonts w:ascii="Times New Roman" w:hAnsi="Times New Roman"/>
                <w:sz w:val="22"/>
              </w:rPr>
              <w:t>Exchange of good practices (see all partners)</w:t>
            </w:r>
          </w:p>
        </w:tc>
      </w:tr>
    </w:tbl>
    <w:p w:rsidR="00A97B6A" w:rsidRDefault="00A97B6A" w:rsidP="00A97B6A">
      <w:pPr>
        <w:spacing w:line="280" w:lineRule="atLeast"/>
      </w:pPr>
    </w:p>
    <w:p w:rsidR="00A97B6A" w:rsidRPr="002E3517" w:rsidRDefault="00A97B6A" w:rsidP="00A97B6A">
      <w:pPr>
        <w:spacing w:line="280" w:lineRule="atLeast"/>
        <w:jc w:val="both"/>
        <w:rPr>
          <w:sz w:val="22"/>
          <w:szCs w:val="22"/>
        </w:rPr>
      </w:pPr>
      <w:r w:rsidRPr="002E3517">
        <w:rPr>
          <w:sz w:val="22"/>
          <w:szCs w:val="22"/>
        </w:rPr>
        <w:t xml:space="preserve">The best way to go forward </w:t>
      </w:r>
      <w:r>
        <w:rPr>
          <w:sz w:val="22"/>
          <w:szCs w:val="22"/>
        </w:rPr>
        <w:t>would be</w:t>
      </w:r>
      <w:r w:rsidRPr="002E3517">
        <w:rPr>
          <w:sz w:val="22"/>
          <w:szCs w:val="22"/>
        </w:rPr>
        <w:t xml:space="preserve"> to appoint ‘initiators’ with the tasks to investigate, in close cooperation with the </w:t>
      </w:r>
      <w:r>
        <w:rPr>
          <w:sz w:val="22"/>
          <w:szCs w:val="22"/>
        </w:rPr>
        <w:t xml:space="preserve">potential </w:t>
      </w:r>
      <w:r w:rsidRPr="002E3517">
        <w:rPr>
          <w:sz w:val="22"/>
          <w:szCs w:val="22"/>
        </w:rPr>
        <w:t>sector/partner-network</w:t>
      </w:r>
      <w:r>
        <w:rPr>
          <w:sz w:val="22"/>
          <w:szCs w:val="22"/>
        </w:rPr>
        <w:t>s</w:t>
      </w:r>
      <w:r w:rsidRPr="002E3517">
        <w:rPr>
          <w:sz w:val="22"/>
          <w:szCs w:val="22"/>
        </w:rPr>
        <w:t>, the added value, possible tasks of the Partner</w:t>
      </w:r>
      <w:r>
        <w:rPr>
          <w:sz w:val="22"/>
          <w:szCs w:val="22"/>
        </w:rPr>
        <w:t xml:space="preserve">ship </w:t>
      </w:r>
      <w:r w:rsidRPr="002E3517">
        <w:rPr>
          <w:sz w:val="22"/>
          <w:szCs w:val="22"/>
        </w:rPr>
        <w:t xml:space="preserve">Hub for their </w:t>
      </w:r>
      <w:r>
        <w:rPr>
          <w:sz w:val="22"/>
          <w:szCs w:val="22"/>
        </w:rPr>
        <w:t>sector/partner-</w:t>
      </w:r>
      <w:r w:rsidRPr="002E3517">
        <w:rPr>
          <w:sz w:val="22"/>
          <w:szCs w:val="22"/>
        </w:rPr>
        <w:t xml:space="preserve">network, their willingness to support the </w:t>
      </w:r>
      <w:r>
        <w:rPr>
          <w:sz w:val="22"/>
          <w:szCs w:val="22"/>
        </w:rPr>
        <w:t>PH</w:t>
      </w:r>
      <w:r w:rsidRPr="002E3517">
        <w:rPr>
          <w:sz w:val="22"/>
          <w:szCs w:val="22"/>
        </w:rPr>
        <w:t xml:space="preserve">, possibility </w:t>
      </w:r>
      <w:r>
        <w:rPr>
          <w:sz w:val="22"/>
          <w:szCs w:val="22"/>
        </w:rPr>
        <w:t xml:space="preserve">of </w:t>
      </w:r>
      <w:r w:rsidRPr="002E3517">
        <w:rPr>
          <w:sz w:val="22"/>
          <w:szCs w:val="22"/>
        </w:rPr>
        <w:t>trilateral representation in the governing board, etc. (starting with the science, nature-management and tourism sector)</w:t>
      </w:r>
    </w:p>
    <w:p w:rsidR="00A97B6A" w:rsidRPr="002E3517" w:rsidRDefault="00A97B6A" w:rsidP="00A97B6A">
      <w:pPr>
        <w:spacing w:line="280" w:lineRule="atLeast"/>
        <w:jc w:val="both"/>
        <w:rPr>
          <w:sz w:val="22"/>
          <w:szCs w:val="22"/>
        </w:rPr>
      </w:pPr>
      <w:r>
        <w:rPr>
          <w:sz w:val="22"/>
          <w:szCs w:val="22"/>
        </w:rPr>
        <w:t>Dep</w:t>
      </w:r>
      <w:r w:rsidRPr="002E3517">
        <w:rPr>
          <w:sz w:val="22"/>
          <w:szCs w:val="22"/>
        </w:rPr>
        <w:t>ending on the expectations of the sector/par</w:t>
      </w:r>
      <w:r>
        <w:rPr>
          <w:sz w:val="22"/>
          <w:szCs w:val="22"/>
        </w:rPr>
        <w:t>t</w:t>
      </w:r>
      <w:r w:rsidRPr="002E3517">
        <w:rPr>
          <w:sz w:val="22"/>
          <w:szCs w:val="22"/>
        </w:rPr>
        <w:t>ner-network</w:t>
      </w:r>
      <w:r>
        <w:rPr>
          <w:sz w:val="22"/>
          <w:szCs w:val="22"/>
        </w:rPr>
        <w:t>s</w:t>
      </w:r>
      <w:r w:rsidRPr="002E3517">
        <w:rPr>
          <w:sz w:val="22"/>
          <w:szCs w:val="22"/>
        </w:rPr>
        <w:t xml:space="preserve"> of the </w:t>
      </w:r>
      <w:r>
        <w:rPr>
          <w:sz w:val="22"/>
          <w:szCs w:val="22"/>
        </w:rPr>
        <w:t>benefits</w:t>
      </w:r>
      <w:r w:rsidRPr="002E3517">
        <w:rPr>
          <w:sz w:val="22"/>
          <w:szCs w:val="22"/>
        </w:rPr>
        <w:t xml:space="preserve"> of the Partner</w:t>
      </w:r>
      <w:r>
        <w:rPr>
          <w:sz w:val="22"/>
          <w:szCs w:val="22"/>
        </w:rPr>
        <w:t xml:space="preserve">ship </w:t>
      </w:r>
      <w:r w:rsidRPr="002E3517">
        <w:rPr>
          <w:sz w:val="22"/>
          <w:szCs w:val="22"/>
        </w:rPr>
        <w:t xml:space="preserve">Hub, and of course vice versa what the TWSC expect of their input in the Hub and the governing Board, the </w:t>
      </w:r>
      <w:r>
        <w:rPr>
          <w:sz w:val="22"/>
          <w:szCs w:val="22"/>
        </w:rPr>
        <w:t>sectors/partner networks</w:t>
      </w:r>
      <w:r w:rsidRPr="002E3517">
        <w:rPr>
          <w:sz w:val="22"/>
          <w:szCs w:val="22"/>
        </w:rPr>
        <w:t xml:space="preserve"> c</w:t>
      </w:r>
      <w:r>
        <w:rPr>
          <w:sz w:val="22"/>
          <w:szCs w:val="22"/>
        </w:rPr>
        <w:t>ould</w:t>
      </w:r>
      <w:r w:rsidRPr="002E3517">
        <w:rPr>
          <w:sz w:val="22"/>
          <w:szCs w:val="22"/>
        </w:rPr>
        <w:t xml:space="preserve"> be invited</w:t>
      </w:r>
      <w:r>
        <w:rPr>
          <w:sz w:val="22"/>
          <w:szCs w:val="22"/>
        </w:rPr>
        <w:t xml:space="preserve"> to engage in the PH</w:t>
      </w:r>
      <w:r w:rsidRPr="002E3517">
        <w:rPr>
          <w:sz w:val="22"/>
          <w:szCs w:val="22"/>
        </w:rPr>
        <w:t>.</w:t>
      </w:r>
    </w:p>
    <w:p w:rsidR="00A97B6A" w:rsidRPr="002E3517" w:rsidRDefault="00A97B6A" w:rsidP="00A97B6A">
      <w:pPr>
        <w:spacing w:line="280" w:lineRule="atLeast"/>
        <w:jc w:val="both"/>
        <w:rPr>
          <w:sz w:val="22"/>
          <w:szCs w:val="22"/>
        </w:rPr>
      </w:pPr>
    </w:p>
    <w:p w:rsidR="00A97B6A" w:rsidRPr="002E3517" w:rsidRDefault="00A97B6A" w:rsidP="00A97B6A">
      <w:pPr>
        <w:spacing w:line="280" w:lineRule="atLeast"/>
        <w:jc w:val="both"/>
        <w:rPr>
          <w:sz w:val="22"/>
          <w:szCs w:val="22"/>
        </w:rPr>
      </w:pPr>
      <w:r>
        <w:rPr>
          <w:sz w:val="22"/>
          <w:szCs w:val="22"/>
        </w:rPr>
        <w:t>The PCDG 4 proposes to the WSB that the n</w:t>
      </w:r>
      <w:r w:rsidRPr="002E3517">
        <w:rPr>
          <w:sz w:val="22"/>
          <w:szCs w:val="22"/>
        </w:rPr>
        <w:t>ext steps</w:t>
      </w:r>
      <w:r>
        <w:rPr>
          <w:sz w:val="22"/>
          <w:szCs w:val="22"/>
        </w:rPr>
        <w:t xml:space="preserve"> be</w:t>
      </w:r>
      <w:r w:rsidRPr="002E3517">
        <w:rPr>
          <w:sz w:val="22"/>
          <w:szCs w:val="22"/>
        </w:rPr>
        <w:t>:</w:t>
      </w:r>
    </w:p>
    <w:p w:rsidR="00A97B6A" w:rsidRPr="002E3517" w:rsidRDefault="00A97B6A" w:rsidP="00A97B6A">
      <w:pPr>
        <w:pStyle w:val="Listenabsatz"/>
        <w:numPr>
          <w:ilvl w:val="0"/>
          <w:numId w:val="21"/>
        </w:numPr>
        <w:spacing w:after="0" w:line="280" w:lineRule="atLeast"/>
        <w:jc w:val="both"/>
        <w:rPr>
          <w:rFonts w:ascii="Times New Roman" w:hAnsi="Times New Roman"/>
          <w:lang w:val="en-US"/>
        </w:rPr>
      </w:pPr>
      <w:r w:rsidRPr="002E3517">
        <w:rPr>
          <w:rFonts w:ascii="Times New Roman" w:hAnsi="Times New Roman"/>
          <w:lang w:val="en-US"/>
        </w:rPr>
        <w:t xml:space="preserve">Development </w:t>
      </w:r>
      <w:r>
        <w:rPr>
          <w:rFonts w:ascii="Times New Roman" w:hAnsi="Times New Roman"/>
          <w:lang w:val="en-US"/>
        </w:rPr>
        <w:t xml:space="preserve">of </w:t>
      </w:r>
      <w:r w:rsidRPr="002E3517">
        <w:rPr>
          <w:rFonts w:ascii="Times New Roman" w:hAnsi="Times New Roman"/>
          <w:lang w:val="en-US"/>
        </w:rPr>
        <w:t xml:space="preserve">TOR </w:t>
      </w:r>
      <w:r>
        <w:rPr>
          <w:rFonts w:ascii="Times New Roman" w:hAnsi="Times New Roman"/>
          <w:lang w:val="en-US"/>
        </w:rPr>
        <w:t xml:space="preserve">or a paper outlining the </w:t>
      </w:r>
      <w:r w:rsidRPr="002E3517">
        <w:rPr>
          <w:rFonts w:ascii="Times New Roman" w:hAnsi="Times New Roman"/>
          <w:lang w:val="en-US"/>
        </w:rPr>
        <w:t>role and tasks for ‘initiators/facilitators’  to explore with potential partners added value, possible role/task Hub for the partner-network, their willingness to support the Hub, possibility trilateral representation in the governing board, etc</w:t>
      </w:r>
    </w:p>
    <w:p w:rsidR="00A97B6A" w:rsidRDefault="00A97B6A" w:rsidP="00A97B6A">
      <w:pPr>
        <w:pStyle w:val="Listenabsatz"/>
        <w:numPr>
          <w:ilvl w:val="0"/>
          <w:numId w:val="21"/>
        </w:numPr>
        <w:spacing w:after="0" w:line="280" w:lineRule="atLeast"/>
        <w:jc w:val="both"/>
        <w:rPr>
          <w:rFonts w:ascii="Times New Roman" w:hAnsi="Times New Roman"/>
          <w:lang w:val="en-US"/>
        </w:rPr>
      </w:pPr>
      <w:r w:rsidRPr="002E3517">
        <w:rPr>
          <w:rFonts w:ascii="Times New Roman" w:hAnsi="Times New Roman"/>
          <w:lang w:val="en-US"/>
        </w:rPr>
        <w:t xml:space="preserve">Appoint (at least for Tourism, </w:t>
      </w:r>
      <w:r>
        <w:rPr>
          <w:rFonts w:ascii="Times New Roman" w:hAnsi="Times New Roman"/>
          <w:lang w:val="en-US"/>
        </w:rPr>
        <w:t>NGOs</w:t>
      </w:r>
      <w:r w:rsidRPr="002E3517">
        <w:rPr>
          <w:rFonts w:ascii="Times New Roman" w:hAnsi="Times New Roman"/>
          <w:lang w:val="en-US"/>
        </w:rPr>
        <w:t xml:space="preserve"> and Research) initiators</w:t>
      </w:r>
    </w:p>
    <w:p w:rsidR="00A97B6A" w:rsidRPr="002E3517" w:rsidRDefault="00A97B6A" w:rsidP="00A97B6A">
      <w:pPr>
        <w:pStyle w:val="Listenabsatz"/>
        <w:numPr>
          <w:ilvl w:val="0"/>
          <w:numId w:val="21"/>
        </w:numPr>
        <w:spacing w:after="0" w:line="280" w:lineRule="atLeast"/>
        <w:jc w:val="both"/>
        <w:rPr>
          <w:rFonts w:ascii="Times New Roman" w:hAnsi="Times New Roman"/>
          <w:lang w:val="en-US"/>
        </w:rPr>
      </w:pPr>
      <w:r>
        <w:rPr>
          <w:rFonts w:ascii="Times New Roman" w:hAnsi="Times New Roman"/>
          <w:lang w:val="en-US"/>
        </w:rPr>
        <w:t xml:space="preserve">For the WSB to provide guidance on next steps to be taken prior to WSB 21.  </w:t>
      </w:r>
    </w:p>
    <w:p w:rsidR="00A97B6A" w:rsidRPr="002E3517" w:rsidRDefault="00A97B6A" w:rsidP="00A97B6A">
      <w:pPr>
        <w:spacing w:line="280" w:lineRule="atLeast"/>
        <w:rPr>
          <w:sz w:val="22"/>
          <w:szCs w:val="22"/>
        </w:rPr>
      </w:pPr>
    </w:p>
    <w:p w:rsidR="00A97B6A" w:rsidRPr="002E3517" w:rsidRDefault="00A97B6A" w:rsidP="00A97B6A">
      <w:pPr>
        <w:spacing w:line="280" w:lineRule="atLeast"/>
        <w:jc w:val="both"/>
        <w:rPr>
          <w:b/>
          <w:sz w:val="22"/>
          <w:szCs w:val="22"/>
        </w:rPr>
      </w:pPr>
      <w:r w:rsidRPr="002E3517">
        <w:rPr>
          <w:b/>
          <w:sz w:val="22"/>
          <w:szCs w:val="22"/>
        </w:rPr>
        <w:t>Some considerations on a WSB+ as a possible governing body for the future Partnership Hub within the PC</w:t>
      </w:r>
    </w:p>
    <w:p w:rsidR="00A97B6A" w:rsidRPr="002E3517" w:rsidRDefault="00A97B6A" w:rsidP="00A97B6A">
      <w:pPr>
        <w:spacing w:line="280" w:lineRule="atLeast"/>
        <w:jc w:val="both"/>
        <w:rPr>
          <w:sz w:val="22"/>
          <w:szCs w:val="22"/>
        </w:rPr>
      </w:pPr>
      <w:r w:rsidRPr="002E3517">
        <w:rPr>
          <w:sz w:val="22"/>
          <w:szCs w:val="22"/>
        </w:rPr>
        <w:t>Paper submitted by CWSS to the PCDG4</w:t>
      </w:r>
    </w:p>
    <w:p w:rsidR="00A97B6A" w:rsidRPr="002E3517" w:rsidRDefault="00A97B6A" w:rsidP="00A97B6A">
      <w:pPr>
        <w:spacing w:line="280" w:lineRule="atLeast"/>
        <w:jc w:val="both"/>
        <w:rPr>
          <w:sz w:val="22"/>
          <w:szCs w:val="22"/>
        </w:rPr>
      </w:pPr>
    </w:p>
    <w:p w:rsidR="00A97B6A" w:rsidRDefault="00A97B6A" w:rsidP="00A97B6A">
      <w:pPr>
        <w:spacing w:line="280" w:lineRule="atLeast"/>
        <w:jc w:val="both"/>
        <w:rPr>
          <w:sz w:val="22"/>
          <w:szCs w:val="22"/>
        </w:rPr>
      </w:pPr>
      <w:r w:rsidRPr="002E3517">
        <w:rPr>
          <w:sz w:val="22"/>
          <w:szCs w:val="22"/>
        </w:rPr>
        <w:t>The meeting of the HLG+ determined that the future Partnership Center should comprise the</w:t>
      </w:r>
      <w:r>
        <w:rPr>
          <w:sz w:val="22"/>
          <w:szCs w:val="22"/>
        </w:rPr>
        <w:t xml:space="preserve"> CWSS and a Partnership Hub</w:t>
      </w:r>
      <w:r w:rsidRPr="002E3517">
        <w:rPr>
          <w:sz w:val="22"/>
          <w:szCs w:val="22"/>
        </w:rPr>
        <w:t xml:space="preserve"> as independent but related entities under the overall </w:t>
      </w:r>
      <w:r>
        <w:rPr>
          <w:sz w:val="22"/>
          <w:szCs w:val="22"/>
        </w:rPr>
        <w:t>office-</w:t>
      </w:r>
      <w:r w:rsidRPr="002E3517">
        <w:rPr>
          <w:sz w:val="22"/>
          <w:szCs w:val="22"/>
        </w:rPr>
        <w:t>management of the Executive Secretary of CWSS. Moreover, the HLG+ was of the opinion that CWSS and the PH should have a common governing body, which would comprise the membership of the current Wadden Sea Board (WSB) for all issues falling under the mandate of CWSS and possibly an extended membership for decisions concerning issues falling into the remit of the P</w:t>
      </w:r>
      <w:r>
        <w:rPr>
          <w:sz w:val="22"/>
          <w:szCs w:val="22"/>
        </w:rPr>
        <w:t>artnership Hub</w:t>
      </w:r>
      <w:r w:rsidRPr="002E3517">
        <w:rPr>
          <w:sz w:val="22"/>
          <w:szCs w:val="22"/>
        </w:rPr>
        <w:t>. The HLG+ felt that it needs yet to be determined what the composition of this possible extended WSB should be. Therefore, it instructed the PCDG 4, to discuss options for the composition and mode of establishment of an extended WSB</w:t>
      </w:r>
      <w:r>
        <w:rPr>
          <w:sz w:val="22"/>
          <w:szCs w:val="22"/>
        </w:rPr>
        <w:t xml:space="preserve">: </w:t>
      </w:r>
    </w:p>
    <w:p w:rsidR="00A97B6A" w:rsidRDefault="00A97B6A" w:rsidP="00A97B6A">
      <w:pPr>
        <w:spacing w:line="280" w:lineRule="atLeast"/>
        <w:jc w:val="both"/>
        <w:rPr>
          <w:sz w:val="22"/>
          <w:szCs w:val="22"/>
        </w:rPr>
      </w:pPr>
    </w:p>
    <w:p w:rsidR="00A97B6A" w:rsidRDefault="00A97B6A" w:rsidP="00A97B6A">
      <w:pPr>
        <w:spacing w:line="280" w:lineRule="atLeast"/>
        <w:jc w:val="both"/>
        <w:rPr>
          <w:sz w:val="22"/>
          <w:szCs w:val="22"/>
        </w:rPr>
      </w:pPr>
      <w:r>
        <w:rPr>
          <w:sz w:val="22"/>
          <w:szCs w:val="22"/>
        </w:rPr>
        <w:lastRenderedPageBreak/>
        <w:t>The PCDG considered several options for the institutional structure and composition of the governing body (cf. diagram).</w:t>
      </w:r>
    </w:p>
    <w:p w:rsidR="00A97B6A" w:rsidRDefault="00A97B6A" w:rsidP="00A97B6A">
      <w:pPr>
        <w:spacing w:line="280" w:lineRule="atLeast"/>
        <w:jc w:val="both"/>
        <w:rPr>
          <w:sz w:val="22"/>
          <w:szCs w:val="22"/>
        </w:rPr>
      </w:pPr>
      <w:r>
        <w:rPr>
          <w:noProof/>
          <w:sz w:val="22"/>
          <w:szCs w:val="22"/>
          <w:lang w:val="de-DE" w:eastAsia="de-DE"/>
        </w:rPr>
        <w:drawing>
          <wp:anchor distT="0" distB="0" distL="114300" distR="114300" simplePos="0" relativeHeight="251662336" behindDoc="1" locked="0" layoutInCell="1" allowOverlap="1" wp14:anchorId="254FECF3" wp14:editId="0641F2DC">
            <wp:simplePos x="0" y="0"/>
            <wp:positionH relativeFrom="column">
              <wp:posOffset>-723265</wp:posOffset>
            </wp:positionH>
            <wp:positionV relativeFrom="paragraph">
              <wp:posOffset>178435</wp:posOffset>
            </wp:positionV>
            <wp:extent cx="7067550" cy="3975735"/>
            <wp:effectExtent l="0" t="0" r="0" b="5715"/>
            <wp:wrapTight wrapText="bothSides">
              <wp:wrapPolygon edited="0">
                <wp:start x="0" y="0"/>
                <wp:lineTo x="0" y="21528"/>
                <wp:lineTo x="21542" y="21528"/>
                <wp:lineTo x="21542"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cussed models.jpg"/>
                    <pic:cNvPicPr/>
                  </pic:nvPicPr>
                  <pic:blipFill>
                    <a:blip r:embed="rId11">
                      <a:extLst>
                        <a:ext uri="{28A0092B-C50C-407E-A947-70E740481C1C}">
                          <a14:useLocalDpi xmlns:a14="http://schemas.microsoft.com/office/drawing/2010/main" val="0"/>
                        </a:ext>
                      </a:extLst>
                    </a:blip>
                    <a:stretch>
                      <a:fillRect/>
                    </a:stretch>
                  </pic:blipFill>
                  <pic:spPr>
                    <a:xfrm>
                      <a:off x="0" y="0"/>
                      <a:ext cx="7067550" cy="3975735"/>
                    </a:xfrm>
                    <a:prstGeom prst="rect">
                      <a:avLst/>
                    </a:prstGeom>
                  </pic:spPr>
                </pic:pic>
              </a:graphicData>
            </a:graphic>
            <wp14:sizeRelH relativeFrom="page">
              <wp14:pctWidth>0</wp14:pctWidth>
            </wp14:sizeRelH>
            <wp14:sizeRelV relativeFrom="page">
              <wp14:pctHeight>0</wp14:pctHeight>
            </wp14:sizeRelV>
          </wp:anchor>
        </w:drawing>
      </w:r>
    </w:p>
    <w:p w:rsidR="00A97B6A" w:rsidRDefault="00A97B6A" w:rsidP="00A97B6A">
      <w:pPr>
        <w:spacing w:line="280" w:lineRule="atLeast"/>
        <w:jc w:val="both"/>
        <w:rPr>
          <w:sz w:val="22"/>
          <w:szCs w:val="22"/>
        </w:rPr>
      </w:pPr>
    </w:p>
    <w:p w:rsidR="00A97B6A" w:rsidRPr="003B4E63" w:rsidRDefault="00A97B6A" w:rsidP="00A97B6A">
      <w:pPr>
        <w:spacing w:line="280" w:lineRule="atLeast"/>
        <w:jc w:val="both"/>
        <w:rPr>
          <w:lang w:eastAsia="de-DE"/>
        </w:rPr>
      </w:pPr>
      <w:r>
        <w:rPr>
          <w:sz w:val="22"/>
          <w:szCs w:val="22"/>
        </w:rPr>
        <w:t xml:space="preserve">In general Germany and the Netherlands are in favor of model no. 4 (simple, no extra structures, partnership means equal membership, back to back-meeting). Denmark will consider the proposal. </w:t>
      </w:r>
      <w:r w:rsidRPr="003B4E63">
        <w:rPr>
          <w:lang w:eastAsia="de-DE"/>
        </w:rPr>
        <w:t xml:space="preserve"> </w:t>
      </w:r>
    </w:p>
    <w:p w:rsidR="00A97B6A" w:rsidRDefault="00A97B6A" w:rsidP="00A97B6A">
      <w:pPr>
        <w:spacing w:line="280" w:lineRule="atLeast"/>
        <w:jc w:val="both"/>
        <w:rPr>
          <w:sz w:val="22"/>
          <w:szCs w:val="22"/>
        </w:rPr>
      </w:pPr>
    </w:p>
    <w:p w:rsidR="00A97B6A" w:rsidRDefault="00A97B6A" w:rsidP="00A97B6A">
      <w:pPr>
        <w:spacing w:line="280" w:lineRule="atLeast"/>
        <w:jc w:val="both"/>
        <w:rPr>
          <w:sz w:val="22"/>
          <w:szCs w:val="22"/>
        </w:rPr>
      </w:pPr>
    </w:p>
    <w:p w:rsidR="00A97B6A" w:rsidRDefault="00A97B6A" w:rsidP="00A97B6A">
      <w:pPr>
        <w:spacing w:line="280" w:lineRule="atLeast"/>
        <w:jc w:val="both"/>
        <w:rPr>
          <w:sz w:val="22"/>
          <w:szCs w:val="22"/>
        </w:rPr>
      </w:pPr>
      <w:r>
        <w:rPr>
          <w:sz w:val="22"/>
          <w:szCs w:val="22"/>
        </w:rPr>
        <w:t xml:space="preserve">In general the </w:t>
      </w:r>
      <w:r w:rsidRPr="000C6118">
        <w:rPr>
          <w:sz w:val="22"/>
          <w:szCs w:val="22"/>
        </w:rPr>
        <w:t xml:space="preserve">PCDG4 </w:t>
      </w:r>
      <w:r>
        <w:rPr>
          <w:sz w:val="22"/>
          <w:szCs w:val="22"/>
        </w:rPr>
        <w:t xml:space="preserve">proposes to the WSB to consider </w:t>
      </w:r>
      <w:r w:rsidRPr="000C6118">
        <w:rPr>
          <w:sz w:val="22"/>
          <w:szCs w:val="22"/>
        </w:rPr>
        <w:t>the following points:</w:t>
      </w:r>
    </w:p>
    <w:p w:rsidR="00A97B6A" w:rsidRPr="00CD0928" w:rsidRDefault="00A97B6A" w:rsidP="00A97B6A">
      <w:pPr>
        <w:spacing w:line="280" w:lineRule="atLeast"/>
        <w:jc w:val="both"/>
        <w:rPr>
          <w:sz w:val="22"/>
          <w:szCs w:val="22"/>
        </w:rPr>
      </w:pPr>
    </w:p>
    <w:p w:rsidR="00A97B6A" w:rsidRPr="005F3144" w:rsidRDefault="00A97B6A" w:rsidP="00A97B6A">
      <w:pPr>
        <w:pStyle w:val="Listenabsatz"/>
        <w:numPr>
          <w:ilvl w:val="0"/>
          <w:numId w:val="25"/>
        </w:numPr>
        <w:spacing w:after="0" w:line="240" w:lineRule="auto"/>
        <w:rPr>
          <w:rFonts w:ascii="Times New Roman" w:hAnsi="Times New Roman"/>
          <w:sz w:val="24"/>
          <w:lang w:val="en-US" w:eastAsia="de-DE"/>
        </w:rPr>
      </w:pPr>
      <w:r>
        <w:rPr>
          <w:rFonts w:ascii="Times New Roman" w:hAnsi="Times New Roman"/>
          <w:lang w:val="en-US"/>
        </w:rPr>
        <w:t xml:space="preserve">The </w:t>
      </w:r>
      <w:r w:rsidRPr="00425C15">
        <w:rPr>
          <w:rFonts w:ascii="Times New Roman" w:hAnsi="Times New Roman"/>
          <w:lang w:val="en-US"/>
        </w:rPr>
        <w:t xml:space="preserve">WSB will be enlarged </w:t>
      </w:r>
      <w:r>
        <w:rPr>
          <w:rFonts w:ascii="Times New Roman" w:hAnsi="Times New Roman"/>
          <w:lang w:val="en-US"/>
        </w:rPr>
        <w:t>by</w:t>
      </w:r>
      <w:r w:rsidRPr="00425C15">
        <w:rPr>
          <w:rFonts w:ascii="Times New Roman" w:hAnsi="Times New Roman"/>
          <w:lang w:val="en-US"/>
        </w:rPr>
        <w:t xml:space="preserve"> partner</w:t>
      </w:r>
      <w:r>
        <w:rPr>
          <w:rFonts w:ascii="Times New Roman" w:hAnsi="Times New Roman"/>
          <w:lang w:val="en-US"/>
        </w:rPr>
        <w:t xml:space="preserve"> </w:t>
      </w:r>
      <w:r w:rsidRPr="00425C15">
        <w:rPr>
          <w:rFonts w:ascii="Times New Roman" w:hAnsi="Times New Roman"/>
          <w:lang w:val="en-US"/>
        </w:rPr>
        <w:t>group sector representatives</w:t>
      </w:r>
      <w:r w:rsidRPr="005F3144">
        <w:rPr>
          <w:rFonts w:ascii="Times New Roman" w:hAnsi="Times New Roman"/>
          <w:sz w:val="24"/>
          <w:lang w:val="en-US" w:eastAsia="de-DE"/>
        </w:rPr>
        <w:t xml:space="preserve"> </w:t>
      </w:r>
    </w:p>
    <w:p w:rsidR="00A97B6A" w:rsidRPr="00CD0928" w:rsidRDefault="00A97B6A" w:rsidP="00A97B6A">
      <w:pPr>
        <w:pStyle w:val="Kopfzeile"/>
        <w:numPr>
          <w:ilvl w:val="0"/>
          <w:numId w:val="25"/>
        </w:numPr>
        <w:tabs>
          <w:tab w:val="clear" w:pos="4703"/>
          <w:tab w:val="clear" w:pos="9406"/>
          <w:tab w:val="left" w:pos="708"/>
          <w:tab w:val="center" w:pos="4536"/>
          <w:tab w:val="right" w:pos="9072"/>
        </w:tabs>
        <w:spacing w:before="120" w:after="120" w:line="280" w:lineRule="atLeast"/>
        <w:jc w:val="both"/>
        <w:rPr>
          <w:sz w:val="22"/>
          <w:szCs w:val="22"/>
        </w:rPr>
      </w:pPr>
      <w:r w:rsidRPr="000C6118">
        <w:rPr>
          <w:sz w:val="22"/>
          <w:szCs w:val="22"/>
          <w:lang w:val="en-CA"/>
        </w:rPr>
        <w:t xml:space="preserve">Representatives of all relevant </w:t>
      </w:r>
      <w:r>
        <w:rPr>
          <w:sz w:val="22"/>
          <w:szCs w:val="22"/>
          <w:lang w:val="en-CA"/>
        </w:rPr>
        <w:t xml:space="preserve">sectors/partner-networks, </w:t>
      </w:r>
      <w:r w:rsidRPr="000C6118">
        <w:rPr>
          <w:sz w:val="22"/>
          <w:szCs w:val="22"/>
          <w:lang w:val="en-CA"/>
        </w:rPr>
        <w:t>which do not currently have a permanent voice in the WSB</w:t>
      </w:r>
      <w:r>
        <w:rPr>
          <w:sz w:val="22"/>
          <w:szCs w:val="22"/>
          <w:lang w:val="en-CA"/>
        </w:rPr>
        <w:t>,</w:t>
      </w:r>
      <w:r w:rsidRPr="000C6118">
        <w:rPr>
          <w:sz w:val="22"/>
          <w:szCs w:val="22"/>
          <w:lang w:val="en-CA"/>
        </w:rPr>
        <w:t xml:space="preserve"> </w:t>
      </w:r>
      <w:r>
        <w:rPr>
          <w:sz w:val="22"/>
          <w:szCs w:val="22"/>
          <w:lang w:val="en-CA"/>
        </w:rPr>
        <w:t>could be</w:t>
      </w:r>
      <w:r w:rsidRPr="000C6118">
        <w:rPr>
          <w:sz w:val="22"/>
          <w:szCs w:val="22"/>
          <w:lang w:val="en-CA"/>
        </w:rPr>
        <w:t xml:space="preserve"> admitted</w:t>
      </w:r>
      <w:r>
        <w:rPr>
          <w:sz w:val="22"/>
          <w:szCs w:val="22"/>
          <w:lang w:val="en-CA"/>
        </w:rPr>
        <w:t xml:space="preserve"> in the WSB+.</w:t>
      </w:r>
      <w:r w:rsidRPr="00D16C05">
        <w:rPr>
          <w:sz w:val="22"/>
          <w:szCs w:val="22"/>
          <w:lang w:val="en-CA"/>
        </w:rPr>
        <w:t xml:space="preserve"> </w:t>
      </w:r>
      <w:r>
        <w:rPr>
          <w:sz w:val="22"/>
          <w:szCs w:val="22"/>
          <w:lang w:val="en-CA"/>
        </w:rPr>
        <w:t xml:space="preserve">Depending on the potential </w:t>
      </w:r>
      <w:r w:rsidRPr="00272FAE">
        <w:rPr>
          <w:sz w:val="22"/>
          <w:szCs w:val="22"/>
          <w:lang w:val="en-CA"/>
        </w:rPr>
        <w:t>sector/</w:t>
      </w:r>
      <w:r>
        <w:rPr>
          <w:sz w:val="22"/>
          <w:szCs w:val="22"/>
          <w:lang w:val="en-CA"/>
        </w:rPr>
        <w:t xml:space="preserve">partner-networks who wish to join the Partnership Hub the maximum number of members of the thus enlarged WSB would be 22 (1 chair, 4 members from each State party and one member each (meaning currently up to 9 members) from potential </w:t>
      </w:r>
      <w:r w:rsidRPr="00272FAE">
        <w:rPr>
          <w:sz w:val="22"/>
          <w:szCs w:val="22"/>
          <w:lang w:val="en-CA"/>
        </w:rPr>
        <w:t>sector</w:t>
      </w:r>
      <w:r>
        <w:rPr>
          <w:sz w:val="22"/>
          <w:szCs w:val="22"/>
          <w:lang w:val="en-CA"/>
        </w:rPr>
        <w:t>s</w:t>
      </w:r>
      <w:r w:rsidRPr="00272FAE">
        <w:rPr>
          <w:sz w:val="22"/>
          <w:szCs w:val="22"/>
          <w:lang w:val="en-CA"/>
        </w:rPr>
        <w:t>/</w:t>
      </w:r>
      <w:r>
        <w:rPr>
          <w:sz w:val="22"/>
          <w:szCs w:val="22"/>
          <w:lang w:val="en-CA"/>
        </w:rPr>
        <w:t>partner networks). Further considerations for a maximum of the WSB+ are needed to ensure that a practical and workable size of the WSB+ is maintained</w:t>
      </w:r>
    </w:p>
    <w:p w:rsidR="00A97B6A" w:rsidRPr="00272FAE" w:rsidRDefault="00A97B6A" w:rsidP="00A97B6A">
      <w:pPr>
        <w:pStyle w:val="Kopfzeile"/>
        <w:numPr>
          <w:ilvl w:val="0"/>
          <w:numId w:val="25"/>
        </w:numPr>
        <w:tabs>
          <w:tab w:val="clear" w:pos="4703"/>
          <w:tab w:val="clear" w:pos="9406"/>
          <w:tab w:val="left" w:pos="708"/>
          <w:tab w:val="center" w:pos="4536"/>
          <w:tab w:val="right" w:pos="9072"/>
        </w:tabs>
        <w:spacing w:before="120" w:after="120" w:line="280" w:lineRule="atLeast"/>
        <w:jc w:val="both"/>
        <w:rPr>
          <w:sz w:val="22"/>
          <w:szCs w:val="22"/>
          <w:lang w:val="en-CA"/>
        </w:rPr>
      </w:pPr>
      <w:r w:rsidRPr="00272FAE">
        <w:rPr>
          <w:sz w:val="22"/>
          <w:szCs w:val="22"/>
          <w:lang w:val="en-CA"/>
        </w:rPr>
        <w:t xml:space="preserve">Each sector/partner-network group is trilaterally represented by one representative (under the condition that they are trilaterally </w:t>
      </w:r>
      <w:r>
        <w:rPr>
          <w:sz w:val="22"/>
          <w:szCs w:val="22"/>
          <w:lang w:val="en-CA"/>
        </w:rPr>
        <w:t>coordinated</w:t>
      </w:r>
      <w:r w:rsidRPr="00272FAE">
        <w:rPr>
          <w:sz w:val="22"/>
          <w:szCs w:val="22"/>
          <w:lang w:val="en-CA"/>
        </w:rPr>
        <w:t>). The selection of representatives is left to the sector/partner</w:t>
      </w:r>
      <w:r>
        <w:rPr>
          <w:sz w:val="22"/>
          <w:szCs w:val="22"/>
          <w:lang w:val="en-CA"/>
        </w:rPr>
        <w:t>-networks</w:t>
      </w:r>
      <w:r w:rsidRPr="00272FAE">
        <w:rPr>
          <w:sz w:val="22"/>
          <w:szCs w:val="22"/>
          <w:lang w:val="en-CA"/>
        </w:rPr>
        <w:t xml:space="preserve"> concerned. </w:t>
      </w:r>
      <w:r w:rsidRPr="00272FAE" w:rsidDel="001E6C05">
        <w:rPr>
          <w:b/>
          <w:sz w:val="22"/>
          <w:szCs w:val="22"/>
        </w:rPr>
        <w:t xml:space="preserve"> </w:t>
      </w:r>
    </w:p>
    <w:p w:rsidR="00A97B6A" w:rsidRPr="00D16C05" w:rsidRDefault="00A97B6A" w:rsidP="00A97B6A">
      <w:pPr>
        <w:pStyle w:val="Kopfzeile"/>
        <w:numPr>
          <w:ilvl w:val="0"/>
          <w:numId w:val="25"/>
        </w:numPr>
        <w:tabs>
          <w:tab w:val="clear" w:pos="4703"/>
          <w:tab w:val="clear" w:pos="9406"/>
          <w:tab w:val="left" w:pos="708"/>
          <w:tab w:val="center" w:pos="4536"/>
          <w:tab w:val="right" w:pos="9072"/>
        </w:tabs>
        <w:spacing w:before="120" w:after="120" w:line="280" w:lineRule="atLeast"/>
        <w:jc w:val="both"/>
        <w:rPr>
          <w:sz w:val="22"/>
          <w:szCs w:val="22"/>
        </w:rPr>
      </w:pPr>
      <w:r>
        <w:rPr>
          <w:sz w:val="22"/>
          <w:szCs w:val="22"/>
          <w:lang w:val="en-CA"/>
        </w:rPr>
        <w:lastRenderedPageBreak/>
        <w:t>S</w:t>
      </w:r>
      <w:r w:rsidRPr="00272FAE">
        <w:rPr>
          <w:sz w:val="22"/>
          <w:szCs w:val="22"/>
          <w:lang w:val="en-CA"/>
        </w:rPr>
        <w:t>ector/</w:t>
      </w:r>
      <w:r>
        <w:rPr>
          <w:sz w:val="22"/>
          <w:szCs w:val="22"/>
          <w:lang w:val="en-CA"/>
        </w:rPr>
        <w:t>p</w:t>
      </w:r>
      <w:r w:rsidRPr="000C6118">
        <w:rPr>
          <w:sz w:val="22"/>
          <w:szCs w:val="22"/>
          <w:lang w:val="en-CA"/>
        </w:rPr>
        <w:t>artner</w:t>
      </w:r>
      <w:r>
        <w:rPr>
          <w:sz w:val="22"/>
          <w:szCs w:val="22"/>
          <w:lang w:val="en-CA"/>
        </w:rPr>
        <w:t>-network</w:t>
      </w:r>
      <w:r w:rsidRPr="000C6118">
        <w:rPr>
          <w:sz w:val="22"/>
          <w:szCs w:val="22"/>
          <w:lang w:val="en-CA"/>
        </w:rPr>
        <w:t xml:space="preserve"> representatives </w:t>
      </w:r>
      <w:r>
        <w:rPr>
          <w:sz w:val="22"/>
          <w:szCs w:val="22"/>
          <w:lang w:val="en-CA"/>
        </w:rPr>
        <w:t xml:space="preserve">should ideally be </w:t>
      </w:r>
      <w:r w:rsidRPr="000C6118">
        <w:rPr>
          <w:sz w:val="22"/>
          <w:szCs w:val="22"/>
          <w:lang w:val="en-CA"/>
        </w:rPr>
        <w:t>full members of the WS</w:t>
      </w:r>
      <w:r>
        <w:rPr>
          <w:sz w:val="22"/>
          <w:szCs w:val="22"/>
          <w:lang w:val="en-CA"/>
        </w:rPr>
        <w:t xml:space="preserve">B+ rather than merely advisors for </w:t>
      </w:r>
      <w:r w:rsidRPr="002E3517">
        <w:rPr>
          <w:sz w:val="22"/>
          <w:szCs w:val="22"/>
        </w:rPr>
        <w:t xml:space="preserve">decisions concerning issues falling into the remit of </w:t>
      </w:r>
      <w:r>
        <w:rPr>
          <w:sz w:val="22"/>
          <w:szCs w:val="22"/>
          <w:lang w:val="en-CA"/>
        </w:rPr>
        <w:t>the Partnership Hub</w:t>
      </w:r>
    </w:p>
    <w:p w:rsidR="00A97B6A" w:rsidRPr="003B4E63" w:rsidRDefault="00A97B6A" w:rsidP="00A97B6A">
      <w:pPr>
        <w:pStyle w:val="Listenabsatz"/>
        <w:numPr>
          <w:ilvl w:val="0"/>
          <w:numId w:val="25"/>
        </w:numPr>
        <w:spacing w:after="0" w:line="280" w:lineRule="atLeast"/>
        <w:ind w:left="714" w:hanging="357"/>
        <w:rPr>
          <w:rFonts w:ascii="Times New Roman" w:hAnsi="Times New Roman"/>
          <w:lang w:val="en-US"/>
        </w:rPr>
      </w:pPr>
      <w:r w:rsidRPr="003B4E63">
        <w:rPr>
          <w:rFonts w:ascii="Times New Roman" w:hAnsi="Times New Roman"/>
          <w:lang w:val="en-CA"/>
        </w:rPr>
        <w:t>In principle the WSB+ strives for decision-making by consensus. Both the representatives of the States Parties and the representatives of the sector/partner-networks are members of the WSB+. However, only the States Parties (meaning any one State Party) can veto a possible decision if a decision is in conflict with their obligations, in particular legal obligations and policy goals.</w:t>
      </w:r>
      <w:r w:rsidRPr="003B4E63">
        <w:rPr>
          <w:rFonts w:ascii="Times New Roman" w:hAnsi="Times New Roman"/>
          <w:lang w:val="en-US"/>
        </w:rPr>
        <w:t xml:space="preserve"> </w:t>
      </w:r>
      <w:r w:rsidRPr="003B4E63">
        <w:rPr>
          <w:rFonts w:ascii="Times New Roman" w:hAnsi="Times New Roman"/>
          <w:lang w:val="en-CA"/>
        </w:rPr>
        <w:t xml:space="preserve">The precise modalities for decision-making within the WSB+ should be laid down in the rules of procedure of the enlarged WSB as </w:t>
      </w:r>
      <w:r>
        <w:rPr>
          <w:rFonts w:ascii="Times New Roman" w:hAnsi="Times New Roman"/>
          <w:lang w:val="en-CA"/>
        </w:rPr>
        <w:t xml:space="preserve">the </w:t>
      </w:r>
      <w:r w:rsidRPr="003B4E63">
        <w:rPr>
          <w:rFonts w:ascii="Times New Roman" w:hAnsi="Times New Roman"/>
          <w:lang w:val="en-CA"/>
        </w:rPr>
        <w:t>governing body for TWSC and Partnership Hub.</w:t>
      </w:r>
      <w:r w:rsidRPr="003B4E63">
        <w:rPr>
          <w:rFonts w:ascii="Times New Roman" w:hAnsi="Times New Roman"/>
          <w:sz w:val="24"/>
          <w:lang w:val="en-US" w:eastAsia="de-DE"/>
        </w:rPr>
        <w:t xml:space="preserve"> </w:t>
      </w:r>
    </w:p>
    <w:p w:rsidR="00A97B6A" w:rsidRPr="000C6118" w:rsidRDefault="00A97B6A" w:rsidP="00A97B6A">
      <w:pPr>
        <w:spacing w:line="300" w:lineRule="exact"/>
        <w:rPr>
          <w:sz w:val="22"/>
          <w:szCs w:val="22"/>
        </w:rPr>
      </w:pPr>
    </w:p>
    <w:p w:rsidR="00615200" w:rsidRDefault="00615200"/>
    <w:sectPr w:rsidR="00615200" w:rsidSect="001C042F">
      <w:headerReference w:type="default" r:id="rId12"/>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C8" w:rsidRDefault="00A875C8">
      <w:r>
        <w:separator/>
      </w:r>
    </w:p>
  </w:endnote>
  <w:endnote w:type="continuationSeparator" w:id="0">
    <w:p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C8" w:rsidRDefault="00A875C8">
      <w:r>
        <w:separator/>
      </w:r>
    </w:p>
  </w:footnote>
  <w:footnote w:type="continuationSeparator" w:id="0">
    <w:p w:rsidR="00A875C8" w:rsidRDefault="00A8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2F" w:rsidRPr="001C042F" w:rsidRDefault="008E5954" w:rsidP="001C042F">
    <w:pPr>
      <w:pStyle w:val="Kopfzeile"/>
      <w:jc w:val="both"/>
      <w:rPr>
        <w:rFonts w:ascii="Arial" w:hAnsi="Arial" w:cs="Arial"/>
        <w:sz w:val="20"/>
        <w:szCs w:val="20"/>
      </w:rPr>
    </w:pPr>
    <w:r>
      <w:rPr>
        <w:rFonts w:ascii="Arial" w:hAnsi="Arial" w:cs="Arial"/>
        <w:sz w:val="20"/>
        <w:szCs w:val="20"/>
      </w:rPr>
      <w:t>WSB</w:t>
    </w:r>
    <w:r w:rsidR="001C042F" w:rsidRPr="001C042F">
      <w:rPr>
        <w:rFonts w:ascii="Arial" w:hAnsi="Arial" w:cs="Arial"/>
        <w:sz w:val="20"/>
        <w:szCs w:val="20"/>
      </w:rPr>
      <w:t xml:space="preserve"> </w:t>
    </w:r>
    <w:r w:rsidR="00CB0F49">
      <w:rPr>
        <w:rFonts w:ascii="Arial" w:hAnsi="Arial" w:cs="Arial"/>
        <w:sz w:val="20"/>
        <w:szCs w:val="20"/>
      </w:rPr>
      <w:t>20</w:t>
    </w:r>
    <w:r w:rsidR="007D5514">
      <w:rPr>
        <w:rFonts w:ascii="Arial" w:hAnsi="Arial" w:cs="Arial"/>
        <w:sz w:val="20"/>
        <w:szCs w:val="20"/>
      </w:rPr>
      <w:t>/</w:t>
    </w:r>
    <w:r w:rsidR="005F18A8">
      <w:rPr>
        <w:rFonts w:ascii="Arial" w:hAnsi="Arial" w:cs="Arial"/>
        <w:sz w:val="20"/>
        <w:szCs w:val="20"/>
      </w:rPr>
      <w:t>6</w:t>
    </w:r>
    <w:r w:rsidR="000E286C">
      <w:rPr>
        <w:rFonts w:ascii="Arial" w:hAnsi="Arial" w:cs="Arial"/>
        <w:sz w:val="20"/>
        <w:szCs w:val="20"/>
      </w:rPr>
      <w:t>.1</w:t>
    </w:r>
    <w:r w:rsidR="007D5514">
      <w:rPr>
        <w:rFonts w:ascii="Arial" w:hAnsi="Arial" w:cs="Arial"/>
        <w:sz w:val="20"/>
        <w:szCs w:val="20"/>
      </w:rPr>
      <w:t>/</w:t>
    </w:r>
    <w:r w:rsidR="000E286C">
      <w:rPr>
        <w:rFonts w:ascii="Arial" w:hAnsi="Arial" w:cs="Arial"/>
        <w:sz w:val="20"/>
        <w:szCs w:val="20"/>
      </w:rPr>
      <w:t xml:space="preserve">2 Outcome of PCDG4 (Bremen, 2017-06-12) </w:t>
    </w:r>
    <w:r w:rsidR="001C042F" w:rsidRPr="001C042F">
      <w:rPr>
        <w:rFonts w:ascii="Arial" w:hAnsi="Arial" w:cs="Arial"/>
        <w:sz w:val="20"/>
        <w:szCs w:val="20"/>
      </w:rPr>
      <w:tab/>
    </w:r>
    <w:r w:rsidR="001C042F" w:rsidRPr="001C042F">
      <w:rPr>
        <w:rFonts w:ascii="Arial" w:hAnsi="Arial" w:cs="Arial"/>
        <w:sz w:val="20"/>
        <w:szCs w:val="20"/>
      </w:rPr>
      <w:fldChar w:fldCharType="begin"/>
    </w:r>
    <w:r w:rsidR="001C042F" w:rsidRPr="001C042F">
      <w:rPr>
        <w:rFonts w:ascii="Arial" w:hAnsi="Arial" w:cs="Arial"/>
        <w:sz w:val="20"/>
        <w:szCs w:val="20"/>
      </w:rPr>
      <w:instrText>PAGE   \* MERGEFORMAT</w:instrText>
    </w:r>
    <w:r w:rsidR="001C042F" w:rsidRPr="001C042F">
      <w:rPr>
        <w:rFonts w:ascii="Arial" w:hAnsi="Arial" w:cs="Arial"/>
        <w:sz w:val="20"/>
        <w:szCs w:val="20"/>
      </w:rPr>
      <w:fldChar w:fldCharType="separate"/>
    </w:r>
    <w:r w:rsidR="0059708E">
      <w:rPr>
        <w:rFonts w:ascii="Arial" w:hAnsi="Arial" w:cs="Arial"/>
        <w:noProof/>
        <w:sz w:val="20"/>
        <w:szCs w:val="20"/>
      </w:rPr>
      <w:t>2</w:t>
    </w:r>
    <w:r w:rsidR="001C042F" w:rsidRPr="001C042F">
      <w:rPr>
        <w:rFonts w:ascii="Arial" w:hAnsi="Arial" w:cs="Arial"/>
        <w:sz w:val="20"/>
        <w:szCs w:val="20"/>
      </w:rPr>
      <w:fldChar w:fldCharType="end"/>
    </w:r>
    <w:r w:rsidR="001C042F" w:rsidRPr="001C042F">
      <w:rPr>
        <w:rFonts w:ascii="Arial" w:hAnsi="Arial" w:cs="Arial"/>
        <w:sz w:val="20"/>
        <w:szCs w:val="20"/>
      </w:rPr>
      <w:tab/>
    </w:r>
    <w:r w:rsidR="001C042F" w:rsidRPr="001C042F">
      <w:rPr>
        <w:rFonts w:ascii="Arial" w:hAnsi="Arial" w:cs="Arial"/>
        <w:sz w:val="20"/>
        <w:szCs w:val="20"/>
      </w:rPr>
      <w:tab/>
    </w:r>
    <w:r w:rsidR="001C042F" w:rsidRPr="001C042F">
      <w:rPr>
        <w:rFonts w:ascii="Arial" w:hAnsi="Arial" w:cs="Arial"/>
        <w:sz w:val="20"/>
        <w:szCs w:val="20"/>
      </w:rPr>
      <w:tab/>
    </w:r>
  </w:p>
  <w:p w:rsidR="001C042F" w:rsidRDefault="001C04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2644D"/>
    <w:multiLevelType w:val="hybridMultilevel"/>
    <w:tmpl w:val="F1F262C4"/>
    <w:lvl w:ilvl="0" w:tplc="BF84DD80">
      <w:numFmt w:val="bullet"/>
      <w:lvlText w:val="-"/>
      <w:lvlJc w:val="left"/>
      <w:pPr>
        <w:ind w:left="720" w:hanging="360"/>
      </w:pPr>
      <w:rPr>
        <w:rFonts w:ascii="Myriad Pro" w:eastAsia="Times New Roman"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F56C04"/>
    <w:multiLevelType w:val="hybridMultilevel"/>
    <w:tmpl w:val="114A86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18432E"/>
    <w:multiLevelType w:val="hybridMultilevel"/>
    <w:tmpl w:val="041E6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9"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15:restartNumberingAfterBreak="0">
    <w:nsid w:val="507D0A74"/>
    <w:multiLevelType w:val="hybridMultilevel"/>
    <w:tmpl w:val="89E0E9F8"/>
    <w:lvl w:ilvl="0" w:tplc="BF84DD80">
      <w:numFmt w:val="bullet"/>
      <w:lvlText w:val="-"/>
      <w:lvlJc w:val="left"/>
      <w:pPr>
        <w:ind w:left="720" w:hanging="360"/>
      </w:pPr>
      <w:rPr>
        <w:rFonts w:ascii="Myriad Pro" w:eastAsia="Times New Roman"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F9C30EA"/>
    <w:multiLevelType w:val="hybridMultilevel"/>
    <w:tmpl w:val="6C628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2"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3"/>
  </w:num>
  <w:num w:numId="2">
    <w:abstractNumId w:val="13"/>
  </w:num>
  <w:num w:numId="3">
    <w:abstractNumId w:val="13"/>
  </w:num>
  <w:num w:numId="4">
    <w:abstractNumId w:val="7"/>
  </w:num>
  <w:num w:numId="5">
    <w:abstractNumId w:val="19"/>
  </w:num>
  <w:num w:numId="6">
    <w:abstractNumId w:val="0"/>
  </w:num>
  <w:num w:numId="7">
    <w:abstractNumId w:val="17"/>
  </w:num>
  <w:num w:numId="8">
    <w:abstractNumId w:val="18"/>
  </w:num>
  <w:num w:numId="9">
    <w:abstractNumId w:val="10"/>
  </w:num>
  <w:num w:numId="10">
    <w:abstractNumId w:val="9"/>
  </w:num>
  <w:num w:numId="11">
    <w:abstractNumId w:val="20"/>
  </w:num>
  <w:num w:numId="12">
    <w:abstractNumId w:val="5"/>
  </w:num>
  <w:num w:numId="13">
    <w:abstractNumId w:val="22"/>
  </w:num>
  <w:num w:numId="14">
    <w:abstractNumId w:val="1"/>
  </w:num>
  <w:num w:numId="15">
    <w:abstractNumId w:val="15"/>
  </w:num>
  <w:num w:numId="16">
    <w:abstractNumId w:val="21"/>
  </w:num>
  <w:num w:numId="17">
    <w:abstractNumId w:val="3"/>
  </w:num>
  <w:num w:numId="18">
    <w:abstractNumId w:val="12"/>
  </w:num>
  <w:num w:numId="19">
    <w:abstractNumId w:val="16"/>
  </w:num>
  <w:num w:numId="20">
    <w:abstractNumId w:val="8"/>
  </w:num>
  <w:num w:numId="21">
    <w:abstractNumId w:val="2"/>
  </w:num>
  <w:num w:numId="22">
    <w:abstractNumId w:val="14"/>
  </w:num>
  <w:num w:numId="23">
    <w:abstractNumId w:val="4"/>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44B5D"/>
    <w:rsid w:val="00051122"/>
    <w:rsid w:val="00063107"/>
    <w:rsid w:val="00066FC4"/>
    <w:rsid w:val="000701AF"/>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27E91"/>
    <w:rsid w:val="00241433"/>
    <w:rsid w:val="00242A26"/>
    <w:rsid w:val="00252FED"/>
    <w:rsid w:val="00254860"/>
    <w:rsid w:val="002A6524"/>
    <w:rsid w:val="002C3B3E"/>
    <w:rsid w:val="002D7C58"/>
    <w:rsid w:val="002D7DF5"/>
    <w:rsid w:val="003148C6"/>
    <w:rsid w:val="0032417C"/>
    <w:rsid w:val="00333535"/>
    <w:rsid w:val="00336615"/>
    <w:rsid w:val="00340678"/>
    <w:rsid w:val="00342BBA"/>
    <w:rsid w:val="0035006B"/>
    <w:rsid w:val="00367F1A"/>
    <w:rsid w:val="00375097"/>
    <w:rsid w:val="003951D7"/>
    <w:rsid w:val="003A4E03"/>
    <w:rsid w:val="003A6B2B"/>
    <w:rsid w:val="003B2160"/>
    <w:rsid w:val="003B2804"/>
    <w:rsid w:val="003D2626"/>
    <w:rsid w:val="003D5EE2"/>
    <w:rsid w:val="003D6420"/>
    <w:rsid w:val="003D6D11"/>
    <w:rsid w:val="003E6517"/>
    <w:rsid w:val="003E673D"/>
    <w:rsid w:val="003E7000"/>
    <w:rsid w:val="003F3217"/>
    <w:rsid w:val="0041392A"/>
    <w:rsid w:val="0041642B"/>
    <w:rsid w:val="004634D9"/>
    <w:rsid w:val="00464803"/>
    <w:rsid w:val="0047073F"/>
    <w:rsid w:val="00473646"/>
    <w:rsid w:val="0048039B"/>
    <w:rsid w:val="004811CF"/>
    <w:rsid w:val="0049559C"/>
    <w:rsid w:val="004B18F8"/>
    <w:rsid w:val="004F7255"/>
    <w:rsid w:val="0052327A"/>
    <w:rsid w:val="00523334"/>
    <w:rsid w:val="005507A2"/>
    <w:rsid w:val="0055335E"/>
    <w:rsid w:val="00566883"/>
    <w:rsid w:val="00583932"/>
    <w:rsid w:val="005915E0"/>
    <w:rsid w:val="0059708E"/>
    <w:rsid w:val="0059757A"/>
    <w:rsid w:val="005A17D3"/>
    <w:rsid w:val="005B1554"/>
    <w:rsid w:val="005C4D1E"/>
    <w:rsid w:val="005F18A8"/>
    <w:rsid w:val="005F2743"/>
    <w:rsid w:val="005F586A"/>
    <w:rsid w:val="00615200"/>
    <w:rsid w:val="006264FF"/>
    <w:rsid w:val="006363AB"/>
    <w:rsid w:val="00646DAB"/>
    <w:rsid w:val="00650ABF"/>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965D1"/>
    <w:rsid w:val="008A01BE"/>
    <w:rsid w:val="008B6DC3"/>
    <w:rsid w:val="008C1B3E"/>
    <w:rsid w:val="008C1C3A"/>
    <w:rsid w:val="008C5C75"/>
    <w:rsid w:val="008D07C9"/>
    <w:rsid w:val="008D7682"/>
    <w:rsid w:val="008E5954"/>
    <w:rsid w:val="008F135B"/>
    <w:rsid w:val="008F7716"/>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7D81"/>
    <w:rsid w:val="00A80F47"/>
    <w:rsid w:val="00A8235D"/>
    <w:rsid w:val="00A86C28"/>
    <w:rsid w:val="00A875C8"/>
    <w:rsid w:val="00A915FB"/>
    <w:rsid w:val="00A97B6A"/>
    <w:rsid w:val="00AC2926"/>
    <w:rsid w:val="00AE651C"/>
    <w:rsid w:val="00AF263A"/>
    <w:rsid w:val="00B07A4C"/>
    <w:rsid w:val="00B1013D"/>
    <w:rsid w:val="00B1024D"/>
    <w:rsid w:val="00B15106"/>
    <w:rsid w:val="00B45E4C"/>
    <w:rsid w:val="00B708A6"/>
    <w:rsid w:val="00B72F28"/>
    <w:rsid w:val="00B74A40"/>
    <w:rsid w:val="00B77454"/>
    <w:rsid w:val="00B917A8"/>
    <w:rsid w:val="00BA0DF4"/>
    <w:rsid w:val="00BA3925"/>
    <w:rsid w:val="00BB539C"/>
    <w:rsid w:val="00BB654B"/>
    <w:rsid w:val="00BB72BE"/>
    <w:rsid w:val="00BC4357"/>
    <w:rsid w:val="00BD4531"/>
    <w:rsid w:val="00BE4BF3"/>
    <w:rsid w:val="00C066DF"/>
    <w:rsid w:val="00C15340"/>
    <w:rsid w:val="00C23468"/>
    <w:rsid w:val="00C25297"/>
    <w:rsid w:val="00C6067C"/>
    <w:rsid w:val="00C62F33"/>
    <w:rsid w:val="00C81A36"/>
    <w:rsid w:val="00C914D0"/>
    <w:rsid w:val="00C917B4"/>
    <w:rsid w:val="00C92F48"/>
    <w:rsid w:val="00C94373"/>
    <w:rsid w:val="00C9446B"/>
    <w:rsid w:val="00C94E92"/>
    <w:rsid w:val="00C96C7B"/>
    <w:rsid w:val="00CA3FEC"/>
    <w:rsid w:val="00CA4F12"/>
    <w:rsid w:val="00CB0F49"/>
    <w:rsid w:val="00CD0E99"/>
    <w:rsid w:val="00CE4943"/>
    <w:rsid w:val="00D02CC2"/>
    <w:rsid w:val="00D045F6"/>
    <w:rsid w:val="00D04A2E"/>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20D83"/>
    <w:rsid w:val="00E41AA1"/>
    <w:rsid w:val="00E420E7"/>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C0CDB"/>
    <w:rsid w:val="00EC431E"/>
    <w:rsid w:val="00EC5696"/>
    <w:rsid w:val="00EE23C0"/>
    <w:rsid w:val="00EE25B5"/>
    <w:rsid w:val="00EF1778"/>
    <w:rsid w:val="00F05116"/>
    <w:rsid w:val="00F52682"/>
    <w:rsid w:val="00F62E2B"/>
    <w:rsid w:val="00F73795"/>
    <w:rsid w:val="00F77F84"/>
    <w:rsid w:val="00F872A7"/>
    <w:rsid w:val="00F912C1"/>
    <w:rsid w:val="00F91478"/>
    <w:rsid w:val="00F97082"/>
    <w:rsid w:val="00FA27B3"/>
    <w:rsid w:val="00FA36AB"/>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40961"/>
    <o:shapelayout v:ext="edit">
      <o:idmap v:ext="edit" data="1"/>
    </o:shapelayout>
  </w:shapeDefaults>
  <w:decimalSymbol w:val=","/>
  <w:listSeparator w:val=";"/>
  <w15:docId w15:val="{7FBEBC3F-B01C-443A-B388-00EF92B1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sid w:val="00147A4E"/>
    <w:rPr>
      <w:i/>
      <w:iCs/>
    </w:rPr>
  </w:style>
  <w:style w:type="table" w:styleId="Tabellenraster">
    <w:name w:val="Table Grid"/>
    <w:basedOn w:val="NormaleTabelle"/>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rsid w:val="00EC5696"/>
    <w:rPr>
      <w:sz w:val="24"/>
      <w:szCs w:val="24"/>
      <w:lang w:val="en-US" w:eastAsia="en-US"/>
    </w:rPr>
  </w:style>
  <w:style w:type="character" w:styleId="Hyperlink">
    <w:name w:val="Hyperlink"/>
    <w:basedOn w:val="Absatz-Standardschriftart"/>
    <w:uiPriority w:val="99"/>
    <w:unhideWhenUsed/>
    <w:rsid w:val="006152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58805-95BD-43A8-87AE-7B4ADC6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86A9CC71.dotm</Template>
  <TotalTime>0</TotalTime>
  <Pages>6</Pages>
  <Words>1338</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Sobottka, Margrita (NLPV)</cp:lastModifiedBy>
  <cp:revision>2</cp:revision>
  <cp:lastPrinted>2013-09-25T14:30:00Z</cp:lastPrinted>
  <dcterms:created xsi:type="dcterms:W3CDTF">2020-03-25T11:23:00Z</dcterms:created>
  <dcterms:modified xsi:type="dcterms:W3CDTF">2020-03-25T11:23:00Z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